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purl.oclc.org/ooxml/officeDocument/relationships/metadata/thumbnail" Target="docProps/thumbnail.emf"/><Relationship Id="rId1" Type="http://purl.oclc.org/ooxml/officeDocument/relationships/officeDocument" Target="word/document.xml"/><Relationship Id="rId4" Type="http://purl.oclc.org/ooxml/officeDocument/relationships/extendedProperties" Target="docProps/app.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14:paraId="46BE5C04" w14:textId="440375C1" w:rsidR="007B7391" w:rsidRDefault="007B7391" w:rsidP="001E6082">
      <w:pPr>
        <w:jc w:val="center"/>
      </w:pPr>
    </w:p>
    <w:p w14:paraId="2B95A6FF" w14:textId="6A9BBBE7" w:rsidR="00E845CC" w:rsidRPr="00E845CC" w:rsidRDefault="00E845CC" w:rsidP="00E845CC">
      <w:pPr>
        <w:spacing w:after="6pt" w:line="18pt" w:lineRule="auto"/>
        <w:jc w:val="center"/>
        <w:rPr>
          <w:rFonts w:ascii="Times New Roman" w:hAnsi="Times New Roman" w:cs="Times New Roman"/>
          <w:b/>
          <w:sz w:val="28"/>
          <w:szCs w:val="28"/>
        </w:rPr>
      </w:pPr>
      <w:r w:rsidRPr="00E845CC">
        <w:rPr>
          <w:rFonts w:ascii="Times New Roman" w:hAnsi="Times New Roman" w:cs="Times New Roman"/>
          <w:b/>
          <w:sz w:val="28"/>
          <w:szCs w:val="28"/>
        </w:rPr>
        <w:t xml:space="preserve">Valoración del Incumplimiento de Obligaciones Comerciales en un Sector Económico Emergente </w:t>
      </w:r>
    </w:p>
    <w:p w14:paraId="1B82D950" w14:textId="3DAE20E0" w:rsidR="00E845CC" w:rsidRPr="00C0608D" w:rsidRDefault="00E845CC" w:rsidP="00E845CC">
      <w:pPr>
        <w:spacing w:after="6pt" w:line="18pt" w:lineRule="auto"/>
        <w:jc w:val="center"/>
        <w:rPr>
          <w:rFonts w:ascii="Times New Roman" w:hAnsi="Times New Roman" w:cs="Times New Roman"/>
          <w:b/>
          <w:sz w:val="28"/>
          <w:szCs w:val="28"/>
          <w:lang w:val="en-US"/>
        </w:rPr>
      </w:pPr>
      <w:r w:rsidRPr="00C0608D">
        <w:rPr>
          <w:rFonts w:ascii="Times New Roman" w:hAnsi="Times New Roman" w:cs="Times New Roman"/>
          <w:b/>
          <w:sz w:val="28"/>
          <w:szCs w:val="28"/>
          <w:lang w:val="en-US"/>
        </w:rPr>
        <w:t>Assessment of Non-Compliance with Obligations Businesses in an Emerging Economic Sector</w:t>
      </w:r>
    </w:p>
    <w:p w14:paraId="6FE80043" w14:textId="5FD4DA2D" w:rsidR="00CB0E46" w:rsidRPr="00C0608D" w:rsidRDefault="00E845CC" w:rsidP="00E845CC">
      <w:pPr>
        <w:spacing w:after="6pt" w:line="18pt" w:lineRule="auto"/>
        <w:jc w:val="center"/>
        <w:rPr>
          <w:rFonts w:ascii="Times New Roman" w:hAnsi="Times New Roman" w:cs="Times New Roman"/>
          <w:b/>
          <w:sz w:val="28"/>
          <w:szCs w:val="28"/>
          <w:lang w:val="pt-BR"/>
        </w:rPr>
      </w:pPr>
      <w:r w:rsidRPr="00C0608D">
        <w:rPr>
          <w:rFonts w:ascii="Times New Roman" w:hAnsi="Times New Roman" w:cs="Times New Roman"/>
          <w:b/>
          <w:sz w:val="28"/>
          <w:szCs w:val="28"/>
          <w:lang w:val="pt-BR"/>
        </w:rPr>
        <w:t>Avaliação de Incumprimento de Obrigações Comercial em um setor econômico emergente</w:t>
      </w:r>
    </w:p>
    <w:p w14:paraId="17E8968D" w14:textId="5152072B" w:rsidR="0005584E" w:rsidRDefault="0005584E" w:rsidP="0005584E">
      <w:pPr>
        <w:spacing w:line="13.80pt" w:lineRule="auto"/>
        <w:jc w:val="center"/>
        <w:rPr>
          <w:rFonts w:ascii="Times New Roman" w:eastAsiaTheme="majorEastAsia" w:hAnsi="Times New Roman" w:cs="Times New Roman"/>
          <w:lang w:val="pt-BR"/>
        </w:rPr>
      </w:pPr>
    </w:p>
    <w:tbl>
      <w:tblPr>
        <w:tblStyle w:val="Tablaconcuadrcula"/>
        <w:tblW w:w="446.25pt" w:type="dxa"/>
        <w:jc w:val="center"/>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4678"/>
        <w:gridCol w:w="4247"/>
      </w:tblGrid>
      <w:tr w:rsidR="0005584E" w:rsidRPr="00D26FC0" w14:paraId="0CB55A9B" w14:textId="77777777" w:rsidTr="0005584E">
        <w:trPr>
          <w:jc w:val="center"/>
        </w:trPr>
        <w:tc>
          <w:tcPr>
            <w:tcW w:w="233.90pt" w:type="dxa"/>
          </w:tcPr>
          <w:p w14:paraId="7D27CB51" w14:textId="217599BB" w:rsidR="00E845CC" w:rsidRPr="00C0608D" w:rsidRDefault="00E845CC" w:rsidP="00E845CC">
            <w:pPr>
              <w:spacing w:line="18pt" w:lineRule="auto"/>
              <w:jc w:val="center"/>
              <w:rPr>
                <w:rFonts w:eastAsiaTheme="majorEastAsia"/>
                <w:sz w:val="24"/>
                <w:szCs w:val="24"/>
                <w:lang w:val="en-US"/>
              </w:rPr>
            </w:pPr>
            <w:r w:rsidRPr="00C0608D">
              <w:rPr>
                <w:rFonts w:eastAsiaTheme="majorEastAsia"/>
                <w:sz w:val="24"/>
                <w:szCs w:val="24"/>
                <w:lang w:val="en-US"/>
              </w:rPr>
              <w:t>Ennit Gutiérrez Oscco</w:t>
            </w:r>
          </w:p>
          <w:p w14:paraId="5ABFAAA2" w14:textId="1F00AD31" w:rsidR="00E845CC" w:rsidRPr="00C0608D" w:rsidRDefault="00E845CC" w:rsidP="00E845CC">
            <w:pPr>
              <w:spacing w:line="18pt" w:lineRule="auto"/>
              <w:jc w:val="center"/>
              <w:rPr>
                <w:rFonts w:eastAsiaTheme="majorEastAsia"/>
                <w:sz w:val="24"/>
                <w:szCs w:val="24"/>
                <w:lang w:val="en-US"/>
              </w:rPr>
            </w:pPr>
            <w:r w:rsidRPr="00CB0E46">
              <w:rPr>
                <w:lang w:val="es-PE" w:eastAsia="pt-BR"/>
              </w:rPr>
              <w:drawing>
                <wp:anchor distT="0" distB="0" distL="114300" distR="114300" simplePos="0" relativeHeight="251661312" behindDoc="0" locked="0" layoutInCell="1" allowOverlap="1" wp14:anchorId="61C839A9" wp14:editId="0AB6FA18">
                  <wp:simplePos x="0" y="0"/>
                  <wp:positionH relativeFrom="rightMargin">
                    <wp:posOffset>-52281</wp:posOffset>
                  </wp:positionH>
                  <wp:positionV relativeFrom="paragraph">
                    <wp:posOffset>235161</wp:posOffset>
                  </wp:positionV>
                  <wp:extent cx="217805" cy="217805"/>
                  <wp:effectExtent l="0" t="0" r="0" b="0"/>
                  <wp:wrapNone/>
                  <wp:docPr id="34" name="Imagen 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0E46">
              <w:rPr>
                <w:lang w:val="es-PE" w:eastAsia="pt-BR"/>
              </w:rPr>
              <w:drawing>
                <wp:anchor distT="0" distB="0" distL="114300" distR="114300" simplePos="0" relativeHeight="251659264" behindDoc="0" locked="0" layoutInCell="1" allowOverlap="1" wp14:anchorId="7BF0B69F" wp14:editId="6AC2990D">
                  <wp:simplePos x="0" y="0"/>
                  <wp:positionH relativeFrom="leftMargin">
                    <wp:posOffset>-86995</wp:posOffset>
                  </wp:positionH>
                  <wp:positionV relativeFrom="paragraph">
                    <wp:posOffset>236431</wp:posOffset>
                  </wp:positionV>
                  <wp:extent cx="217805" cy="217805"/>
                  <wp:effectExtent l="0" t="0" r="0" b="0"/>
                  <wp:wrapNone/>
                  <wp:docPr id="6" name="Imagen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 w:history="1">
              <w:r w:rsidRPr="00C0608D">
                <w:rPr>
                  <w:rStyle w:val="Hipervnculo"/>
                  <w:rFonts w:eastAsiaTheme="majorEastAsia"/>
                  <w:sz w:val="24"/>
                  <w:szCs w:val="24"/>
                  <w:lang w:val="en-US"/>
                </w:rPr>
                <w:t>ennitgutierrezo0@gmail.com</w:t>
              </w:r>
            </w:hyperlink>
            <w:r w:rsidRPr="00C0608D">
              <w:rPr>
                <w:rFonts w:eastAsiaTheme="majorEastAsia"/>
                <w:sz w:val="24"/>
                <w:szCs w:val="24"/>
                <w:lang w:val="en-US"/>
              </w:rPr>
              <w:t xml:space="preserve"> </w:t>
            </w:r>
          </w:p>
          <w:p w14:paraId="0B2FF042" w14:textId="45E08A61" w:rsidR="0005584E" w:rsidRPr="00C0608D" w:rsidRDefault="00535B3D" w:rsidP="00E845CC">
            <w:pPr>
              <w:spacing w:line="18pt" w:lineRule="auto"/>
              <w:jc w:val="center"/>
              <w:rPr>
                <w:rFonts w:eastAsiaTheme="majorEastAsia"/>
                <w:sz w:val="24"/>
                <w:szCs w:val="24"/>
                <w:lang w:val="es-PE"/>
              </w:rPr>
            </w:pPr>
            <w:hyperlink r:id="rId10" w:history="1">
              <w:r w:rsidR="00E845CC" w:rsidRPr="00C0608D">
                <w:rPr>
                  <w:rStyle w:val="Hipervnculo"/>
                  <w:rFonts w:eastAsiaTheme="majorEastAsia"/>
                  <w:sz w:val="24"/>
                  <w:szCs w:val="24"/>
                  <w:lang w:val="es-PE"/>
                </w:rPr>
                <w:t>https://orcid.org/0009-0002-0292-4859</w:t>
              </w:r>
            </w:hyperlink>
            <w:r w:rsidR="00E845CC" w:rsidRPr="00C0608D">
              <w:rPr>
                <w:rFonts w:eastAsiaTheme="majorEastAsia"/>
                <w:sz w:val="24"/>
                <w:szCs w:val="24"/>
                <w:lang w:val="es-PE"/>
              </w:rPr>
              <w:t xml:space="preserve">           Universidad Peruana Unión, Lima, Perú </w:t>
            </w:r>
          </w:p>
        </w:tc>
        <w:tc>
          <w:tcPr>
            <w:tcW w:w="212.35pt" w:type="dxa"/>
          </w:tcPr>
          <w:p w14:paraId="3E036E8A" w14:textId="44317D22" w:rsidR="00E845CC" w:rsidRPr="00C0608D" w:rsidRDefault="00E845CC" w:rsidP="00E845CC">
            <w:pPr>
              <w:spacing w:line="18pt" w:lineRule="auto"/>
              <w:jc w:val="center"/>
              <w:rPr>
                <w:rFonts w:eastAsiaTheme="majorEastAsia"/>
                <w:sz w:val="24"/>
                <w:lang w:val="es-PE"/>
              </w:rPr>
            </w:pPr>
            <w:r w:rsidRPr="00C0608D">
              <w:rPr>
                <w:rFonts w:eastAsiaTheme="majorEastAsia"/>
                <w:sz w:val="24"/>
                <w:lang w:val="es-PE"/>
              </w:rPr>
              <w:t>Rudy Sandra Lujan Coronel</w:t>
            </w:r>
          </w:p>
          <w:p w14:paraId="24B48C83" w14:textId="60510223" w:rsidR="00E845CC" w:rsidRPr="00C0608D" w:rsidRDefault="00535B3D" w:rsidP="00E845CC">
            <w:pPr>
              <w:spacing w:line="18pt" w:lineRule="auto"/>
              <w:jc w:val="center"/>
              <w:rPr>
                <w:rFonts w:eastAsiaTheme="majorEastAsia"/>
                <w:sz w:val="24"/>
                <w:lang w:val="es-PE"/>
              </w:rPr>
            </w:pPr>
            <w:hyperlink r:id="rId11" w:history="1">
              <w:r w:rsidR="00E845CC" w:rsidRPr="00C0608D">
                <w:rPr>
                  <w:rStyle w:val="Hipervnculo"/>
                  <w:rFonts w:eastAsiaTheme="majorEastAsia"/>
                  <w:sz w:val="24"/>
                  <w:lang w:val="es-PE"/>
                </w:rPr>
                <w:t>sandralujan15@gmail.com</w:t>
              </w:r>
            </w:hyperlink>
          </w:p>
          <w:p w14:paraId="3D7F320A" w14:textId="01E21851" w:rsidR="00E845CC" w:rsidRPr="00C0608D" w:rsidRDefault="00535B3D" w:rsidP="00E845CC">
            <w:pPr>
              <w:spacing w:line="18pt" w:lineRule="auto"/>
              <w:jc w:val="center"/>
              <w:rPr>
                <w:rFonts w:eastAsiaTheme="majorEastAsia"/>
                <w:sz w:val="24"/>
                <w:lang w:val="es-PE"/>
              </w:rPr>
            </w:pPr>
            <w:hyperlink r:id="rId12" w:history="1">
              <w:r w:rsidR="00E845CC" w:rsidRPr="00C0608D">
                <w:rPr>
                  <w:rStyle w:val="Hipervnculo"/>
                  <w:rFonts w:eastAsiaTheme="majorEastAsia"/>
                  <w:sz w:val="24"/>
                  <w:lang w:val="es-PE"/>
                </w:rPr>
                <w:t>https://orcid.org/0000-0002-7116-9001</w:t>
              </w:r>
            </w:hyperlink>
            <w:r w:rsidR="00E845CC" w:rsidRPr="00C0608D">
              <w:rPr>
                <w:rFonts w:eastAsiaTheme="majorEastAsia"/>
                <w:sz w:val="24"/>
                <w:lang w:val="es-PE"/>
              </w:rPr>
              <w:t xml:space="preserve">   </w:t>
            </w:r>
          </w:p>
          <w:p w14:paraId="4920DC6F" w14:textId="53AF892A" w:rsidR="0005584E" w:rsidRPr="00D26FC0" w:rsidRDefault="00E845CC" w:rsidP="00E845CC">
            <w:pPr>
              <w:spacing w:line="18pt" w:lineRule="auto"/>
              <w:jc w:val="center"/>
              <w:rPr>
                <w:rFonts w:eastAsiaTheme="majorEastAsia"/>
                <w:sz w:val="24"/>
                <w:lang w:val="pt-BR"/>
              </w:rPr>
            </w:pPr>
            <w:r w:rsidRPr="00C0608D">
              <w:rPr>
                <w:rFonts w:eastAsiaTheme="majorEastAsia"/>
                <w:sz w:val="24"/>
                <w:lang w:val="es-PE"/>
              </w:rPr>
              <w:t xml:space="preserve">Universidad Peruana Unión. </w:t>
            </w:r>
            <w:r w:rsidRPr="00E845CC">
              <w:rPr>
                <w:rFonts w:eastAsiaTheme="majorEastAsia"/>
                <w:sz w:val="24"/>
                <w:lang w:val="pt-BR"/>
              </w:rPr>
              <w:t>Lima, Perú</w:t>
            </w:r>
          </w:p>
        </w:tc>
      </w:tr>
    </w:tbl>
    <w:p w14:paraId="620ED128" w14:textId="77777777" w:rsidR="0005584E" w:rsidRDefault="0005584E" w:rsidP="0005584E">
      <w:pPr>
        <w:spacing w:line="13.80pt" w:lineRule="auto"/>
        <w:jc w:val="center"/>
        <w:rPr>
          <w:rFonts w:ascii="Times New Roman" w:eastAsiaTheme="majorEastAsia" w:hAnsi="Times New Roman" w:cs="Times New Roman"/>
          <w:lang w:val="pt-BR"/>
        </w:rPr>
      </w:pPr>
    </w:p>
    <w:p w14:paraId="00A904E7" w14:textId="77777777" w:rsidR="00CB0E46" w:rsidRPr="005B6F47" w:rsidRDefault="00CB0E46" w:rsidP="00356031">
      <w:pPr>
        <w:autoSpaceDE w:val="0"/>
        <w:autoSpaceDN w:val="0"/>
        <w:jc w:val="both"/>
        <w:rPr>
          <w:rFonts w:ascii="Times New Roman" w:eastAsia="Calibri" w:hAnsi="Times New Roman" w:cs="Times New Roman"/>
          <w:noProof w:val="0"/>
          <w:lang w:val="es-PE" w:eastAsia="pt-BR"/>
        </w:rPr>
      </w:pPr>
    </w:p>
    <w:p w14:paraId="4CD790E5" w14:textId="77777777" w:rsidR="005D1CF6" w:rsidRPr="005D1CF6" w:rsidRDefault="005D1CF6" w:rsidP="005D1CF6">
      <w:pPr>
        <w:spacing w:line="18pt" w:lineRule="auto"/>
        <w:jc w:val="center"/>
        <w:rPr>
          <w:rFonts w:ascii="Times New Roman" w:hAnsi="Times New Roman" w:cs="Times New Roman"/>
        </w:rPr>
      </w:pPr>
      <w:r w:rsidRPr="005D1CF6">
        <w:rPr>
          <w:rFonts w:ascii="Times New Roman" w:hAnsi="Times New Roman" w:cs="Times New Roman"/>
        </w:rPr>
        <w:t>Recibido: 16 de junio de 2022</w:t>
      </w:r>
    </w:p>
    <w:p w14:paraId="3C870785" w14:textId="04DE8A9F" w:rsidR="00F35937" w:rsidRPr="00355243" w:rsidRDefault="005D1CF6" w:rsidP="005D1CF6">
      <w:pPr>
        <w:spacing w:line="18pt" w:lineRule="auto"/>
        <w:jc w:val="center"/>
        <w:rPr>
          <w:rFonts w:ascii="Times New Roman" w:hAnsi="Times New Roman" w:cs="Times New Roman"/>
        </w:rPr>
      </w:pPr>
      <w:r w:rsidRPr="005D1CF6">
        <w:rPr>
          <w:rFonts w:ascii="Times New Roman" w:hAnsi="Times New Roman" w:cs="Times New Roman"/>
        </w:rPr>
        <w:t>Aceptado: 26 de diciembre de 2022</w:t>
      </w:r>
    </w:p>
    <w:p w14:paraId="00FEB57D" w14:textId="77777777" w:rsidR="005D1CF6" w:rsidRDefault="005D1CF6" w:rsidP="00481241">
      <w:pPr>
        <w:adjustRightInd w:val="0"/>
        <w:snapToGrid w:val="0"/>
        <w:spacing w:before="6pt" w:after="6pt" w:line="18pt" w:lineRule="auto"/>
        <w:jc w:val="both"/>
        <w:rPr>
          <w:rFonts w:ascii="Times New Roman" w:eastAsia="Times New Roman" w:hAnsi="Times New Roman" w:cs="Times New Roman"/>
          <w:b/>
          <w:noProof w:val="0"/>
          <w:lang w:val="es-PE"/>
        </w:rPr>
      </w:pPr>
    </w:p>
    <w:p w14:paraId="1EAED03C" w14:textId="60964C6C" w:rsidR="00481241" w:rsidRPr="00481241" w:rsidRDefault="00481241" w:rsidP="009D7A6A">
      <w:pPr>
        <w:adjustRightInd w:val="0"/>
        <w:snapToGrid w:val="0"/>
        <w:spacing w:before="6pt" w:after="6pt" w:line="18pt" w:lineRule="auto"/>
        <w:jc w:val="both"/>
        <w:rPr>
          <w:rFonts w:ascii="Times New Roman" w:eastAsia="Times New Roman" w:hAnsi="Times New Roman" w:cs="Times New Roman"/>
          <w:b/>
          <w:noProof w:val="0"/>
          <w:lang w:val="es-PE"/>
        </w:rPr>
      </w:pPr>
      <w:r w:rsidRPr="00481241">
        <w:rPr>
          <w:rFonts w:ascii="Times New Roman" w:eastAsia="Times New Roman" w:hAnsi="Times New Roman" w:cs="Times New Roman"/>
          <w:b/>
          <w:noProof w:val="0"/>
          <w:lang w:val="es-PE"/>
        </w:rPr>
        <w:t>Resumen</w:t>
      </w:r>
    </w:p>
    <w:p w14:paraId="71F17DF7" w14:textId="77777777" w:rsidR="00E845CC" w:rsidRPr="00E845CC" w:rsidRDefault="00E845CC" w:rsidP="00E845CC">
      <w:pPr>
        <w:widowControl w:val="0"/>
        <w:autoSpaceDE w:val="0"/>
        <w:autoSpaceDN w:val="0"/>
        <w:adjustRightInd w:val="0"/>
        <w:spacing w:after="12pt" w:line="18pt" w:lineRule="auto"/>
        <w:jc w:val="both"/>
        <w:rPr>
          <w:rFonts w:ascii="Times New Roman" w:hAnsi="Times New Roman" w:cs="Times New Roman"/>
          <w:bCs/>
        </w:rPr>
      </w:pPr>
      <w:bookmarkStart w:id="0" w:name="_Toc107129292"/>
      <w:bookmarkStart w:id="1" w:name="_Toc117374353"/>
      <w:r w:rsidRPr="00E845CC">
        <w:rPr>
          <w:rFonts w:ascii="Times New Roman" w:hAnsi="Times New Roman" w:cs="Times New Roman"/>
          <w:bCs/>
        </w:rPr>
        <w:t>El estudio que se presenta, tuvo por objetivo, analizar la valoración del incumplimiento de obligaciones comerciales en un sector económico emergente. La ejecución fue por medio de un enfoque cuantitativo, el mismo que fue acompañado de un tipo de investigación descriptiva, que además tuvo como característica un diseño no experimental. La recolección de datos se hizo por medio de un cuestionario a una muestra de 350 comerciantes de diferentes sitios de Lima Metropolitana. El estudio tuvo como resultado que, en el caso del incumplimiento de obligaciones de índole tributarias, un 42.3% únicamente las considera “grave”, y en el caso del incumplimiento de las obligaciones laborales, un 64.3% considera que el incumplimiento es “grave”. Se concluyó de esta manera en que existe una mejor valoración hacia la norma laboral que hacia la tributaria y que además los índices de sensibilidad no son los adecuados para que el mercado emergente pueda sumar de manera correcta a la economía del país.</w:t>
      </w:r>
    </w:p>
    <w:p w14:paraId="587A5A0D" w14:textId="77777777" w:rsidR="00E845CC" w:rsidRPr="00E845CC" w:rsidRDefault="00E845CC" w:rsidP="00E845CC">
      <w:pPr>
        <w:widowControl w:val="0"/>
        <w:autoSpaceDE w:val="0"/>
        <w:autoSpaceDN w:val="0"/>
        <w:adjustRightInd w:val="0"/>
        <w:spacing w:after="12pt" w:line="18pt" w:lineRule="auto"/>
        <w:jc w:val="both"/>
        <w:rPr>
          <w:rFonts w:ascii="Times New Roman" w:hAnsi="Times New Roman" w:cs="Times New Roman"/>
          <w:b/>
          <w:bCs/>
        </w:rPr>
      </w:pPr>
      <w:r w:rsidRPr="00E845CC">
        <w:rPr>
          <w:rFonts w:ascii="Times New Roman" w:hAnsi="Times New Roman" w:cs="Times New Roman"/>
          <w:bCs/>
          <w:i/>
          <w:iCs/>
        </w:rPr>
        <w:t>Palabras clave</w:t>
      </w:r>
      <w:r w:rsidRPr="00E845CC">
        <w:rPr>
          <w:rFonts w:ascii="Times New Roman" w:hAnsi="Times New Roman" w:cs="Times New Roman"/>
          <w:b/>
          <w:bCs/>
        </w:rPr>
        <w:t xml:space="preserve">: </w:t>
      </w:r>
      <w:r w:rsidRPr="00E845CC">
        <w:rPr>
          <w:rFonts w:ascii="Times New Roman" w:hAnsi="Times New Roman" w:cs="Times New Roman"/>
          <w:bCs/>
        </w:rPr>
        <w:t>Obligaciones tributarias, obligaciones laborales, pequeñas empresas.</w:t>
      </w:r>
    </w:p>
    <w:p w14:paraId="68DD7F29" w14:textId="77777777" w:rsidR="00E845CC" w:rsidRPr="00E845CC" w:rsidRDefault="00E845CC" w:rsidP="00E845CC">
      <w:pPr>
        <w:widowControl w:val="0"/>
        <w:autoSpaceDE w:val="0"/>
        <w:autoSpaceDN w:val="0"/>
        <w:adjustRightInd w:val="0"/>
        <w:spacing w:after="12pt" w:line="18pt" w:lineRule="auto"/>
        <w:jc w:val="both"/>
        <w:rPr>
          <w:rFonts w:ascii="Times New Roman" w:hAnsi="Times New Roman" w:cs="Times New Roman"/>
          <w:b/>
          <w:bCs/>
          <w:lang w:val="en-US"/>
        </w:rPr>
      </w:pPr>
      <w:r w:rsidRPr="00E845CC">
        <w:rPr>
          <w:rFonts w:ascii="Times New Roman" w:hAnsi="Times New Roman" w:cs="Times New Roman"/>
          <w:b/>
          <w:bCs/>
          <w:lang w:val="en-US"/>
        </w:rPr>
        <w:lastRenderedPageBreak/>
        <w:t>Abstract</w:t>
      </w:r>
    </w:p>
    <w:p w14:paraId="14642AF4" w14:textId="77777777" w:rsidR="00E845CC" w:rsidRPr="00E845CC" w:rsidRDefault="00E845CC" w:rsidP="00E845CC">
      <w:pPr>
        <w:widowControl w:val="0"/>
        <w:autoSpaceDE w:val="0"/>
        <w:autoSpaceDN w:val="0"/>
        <w:adjustRightInd w:val="0"/>
        <w:spacing w:after="12pt" w:line="18pt" w:lineRule="auto"/>
        <w:jc w:val="both"/>
        <w:rPr>
          <w:rFonts w:ascii="Times New Roman" w:hAnsi="Times New Roman" w:cs="Times New Roman"/>
          <w:bCs/>
          <w:lang w:val="en-US"/>
        </w:rPr>
      </w:pPr>
      <w:r w:rsidRPr="00E845CC">
        <w:rPr>
          <w:rFonts w:ascii="Times New Roman" w:hAnsi="Times New Roman" w:cs="Times New Roman"/>
          <w:bCs/>
          <w:lang w:val="en-US"/>
        </w:rPr>
        <w:t>The study that is presented, had as objective, to analyze the valuation of the breach of commercial obligations in an emerging economic sector. The execution was through a quantitative approach, the same that was accompanied by a type of descriptive research, which also had a non-experimental design as a characteristic. Data collection was done through a questionnaire to a sample of 350 merchants from different sites in Metropolitan Lima. The result of the study was that in the case of non-compliance with tax obligations, 42.3% only consider them serious, and in the case of non-compliance with labor obligations, 64.3% consider that the non-compliance is serious. It was concluded in this way that there is a better valuation towards the labor regulation than towards the tax one and that, in addition, the sensitivity indices are not adequate for the emerging market to correctly add to the country's economy.</w:t>
      </w:r>
    </w:p>
    <w:p w14:paraId="61D08B0F" w14:textId="77777777" w:rsidR="00E845CC" w:rsidRPr="00E845CC" w:rsidRDefault="00E845CC" w:rsidP="00E845CC">
      <w:pPr>
        <w:widowControl w:val="0"/>
        <w:autoSpaceDE w:val="0"/>
        <w:autoSpaceDN w:val="0"/>
        <w:adjustRightInd w:val="0"/>
        <w:spacing w:after="12pt" w:line="18pt" w:lineRule="auto"/>
        <w:jc w:val="both"/>
        <w:rPr>
          <w:rFonts w:ascii="Times New Roman" w:hAnsi="Times New Roman" w:cs="Times New Roman"/>
          <w:bCs/>
          <w:lang w:val="en-US"/>
        </w:rPr>
      </w:pPr>
      <w:r w:rsidRPr="00E845CC">
        <w:rPr>
          <w:rFonts w:ascii="Times New Roman" w:hAnsi="Times New Roman" w:cs="Times New Roman"/>
          <w:bCs/>
          <w:i/>
          <w:iCs/>
          <w:lang w:val="en-US"/>
        </w:rPr>
        <w:t>Keywords</w:t>
      </w:r>
      <w:r w:rsidRPr="00E845CC">
        <w:rPr>
          <w:rFonts w:ascii="Times New Roman" w:hAnsi="Times New Roman" w:cs="Times New Roman"/>
          <w:b/>
          <w:bCs/>
          <w:lang w:val="en-US"/>
        </w:rPr>
        <w:t>:</w:t>
      </w:r>
      <w:r w:rsidRPr="00E845CC">
        <w:rPr>
          <w:rFonts w:ascii="Times New Roman" w:hAnsi="Times New Roman" w:cs="Times New Roman"/>
          <w:bCs/>
          <w:lang w:val="en-US"/>
        </w:rPr>
        <w:t xml:space="preserve"> Tax obligations, labor obligations, small businesses</w:t>
      </w:r>
    </w:p>
    <w:p w14:paraId="1873B60A" w14:textId="77777777" w:rsidR="00E845CC" w:rsidRPr="00E845CC" w:rsidRDefault="00E845CC" w:rsidP="00E845CC">
      <w:pPr>
        <w:widowControl w:val="0"/>
        <w:autoSpaceDE w:val="0"/>
        <w:autoSpaceDN w:val="0"/>
        <w:adjustRightInd w:val="0"/>
        <w:spacing w:after="12pt" w:line="18pt" w:lineRule="auto"/>
        <w:jc w:val="both"/>
        <w:rPr>
          <w:rFonts w:ascii="Times New Roman" w:hAnsi="Times New Roman" w:cs="Times New Roman"/>
          <w:b/>
          <w:bCs/>
          <w:lang w:val="pt-BR"/>
        </w:rPr>
      </w:pPr>
      <w:r w:rsidRPr="00E845CC">
        <w:rPr>
          <w:rFonts w:ascii="Times New Roman" w:hAnsi="Times New Roman" w:cs="Times New Roman"/>
          <w:b/>
          <w:bCs/>
          <w:lang w:val="pt-BR"/>
        </w:rPr>
        <w:t>Resumo</w:t>
      </w:r>
    </w:p>
    <w:p w14:paraId="2A1B4D37" w14:textId="77777777" w:rsidR="00E845CC" w:rsidRPr="00E845CC" w:rsidRDefault="00E845CC" w:rsidP="00E845CC">
      <w:pPr>
        <w:widowControl w:val="0"/>
        <w:autoSpaceDE w:val="0"/>
        <w:autoSpaceDN w:val="0"/>
        <w:adjustRightInd w:val="0"/>
        <w:spacing w:after="12pt" w:line="18pt" w:lineRule="auto"/>
        <w:jc w:val="both"/>
        <w:rPr>
          <w:rFonts w:ascii="Times New Roman" w:hAnsi="Times New Roman" w:cs="Times New Roman"/>
          <w:bCs/>
          <w:lang w:val="pt-BR"/>
        </w:rPr>
      </w:pPr>
      <w:r w:rsidRPr="00E845CC">
        <w:rPr>
          <w:rFonts w:ascii="Times New Roman" w:hAnsi="Times New Roman" w:cs="Times New Roman"/>
          <w:bCs/>
          <w:lang w:val="pt-BR"/>
        </w:rPr>
        <w:t>O objetivo do estudo apresentado foi analisar a avaliação do incumprimento de obrigações comerciais num setor económico emergente. A execução se deu por meio de uma abordagem quantitativa, que foi acompanhada de um tipo de pesquisa descritiva, que também teve como característica o desenho não experimental. A coleta de dados foi feita por meio de questionário a uma amostra de 350 comerciantes de diferentes localidades da região metropolitana de Lima. O estudo resultou que no caso de incumprimento de obrigações fiscais, 42,3% apenas as consideram “graves”, e no caso de incumprimento de obrigações laborais, 64,3% consideram o incumprimento “grave”. Concluiu-se desta forma que há uma melhor avaliação em relação ao padrão trabalhista do que em relação ao tributário e que além disso os índices de sensibilidade não são adequados para que o mercado emergente possa agregar corretamente à economia do país.</w:t>
      </w:r>
    </w:p>
    <w:p w14:paraId="28E38F4A" w14:textId="746DF791" w:rsidR="0029731D" w:rsidRPr="00C0608D" w:rsidRDefault="00E845CC" w:rsidP="00E845CC">
      <w:pPr>
        <w:widowControl w:val="0"/>
        <w:autoSpaceDE w:val="0"/>
        <w:autoSpaceDN w:val="0"/>
        <w:adjustRightInd w:val="0"/>
        <w:spacing w:after="12pt" w:line="18pt" w:lineRule="auto"/>
        <w:jc w:val="both"/>
        <w:rPr>
          <w:rFonts w:ascii="Times New Roman" w:hAnsi="Times New Roman" w:cs="Times New Roman"/>
          <w:b/>
          <w:lang w:val="pt-BR"/>
        </w:rPr>
      </w:pPr>
      <w:r w:rsidRPr="00E845CC">
        <w:rPr>
          <w:rFonts w:ascii="Times New Roman" w:hAnsi="Times New Roman" w:cs="Times New Roman"/>
          <w:bCs/>
          <w:i/>
          <w:iCs/>
          <w:lang w:val="pt-BR"/>
        </w:rPr>
        <w:t>Palavras-chave</w:t>
      </w:r>
      <w:r w:rsidRPr="00E845CC">
        <w:rPr>
          <w:rFonts w:ascii="Times New Roman" w:hAnsi="Times New Roman" w:cs="Times New Roman"/>
          <w:bCs/>
          <w:lang w:val="pt-BR"/>
        </w:rPr>
        <w:t>: Obrigações tributárias, obrigações trabalhistas, pequenas empresas</w:t>
      </w:r>
    </w:p>
    <w:p w14:paraId="4419BCAB" w14:textId="77777777" w:rsidR="00E845CC" w:rsidRPr="00C0608D" w:rsidRDefault="00E845CC" w:rsidP="005D1CF6">
      <w:pPr>
        <w:widowControl w:val="0"/>
        <w:autoSpaceDE w:val="0"/>
        <w:autoSpaceDN w:val="0"/>
        <w:adjustRightInd w:val="0"/>
        <w:spacing w:after="12pt" w:line="18pt" w:lineRule="auto"/>
        <w:ind w:start="34pt" w:hanging="34pt"/>
        <w:jc w:val="center"/>
        <w:rPr>
          <w:rFonts w:ascii="Times New Roman" w:hAnsi="Times New Roman" w:cs="Times New Roman"/>
          <w:b/>
          <w:lang w:val="pt-BR"/>
        </w:rPr>
      </w:pPr>
    </w:p>
    <w:p w14:paraId="681FB730" w14:textId="77777777" w:rsidR="00E845CC" w:rsidRPr="00C0608D" w:rsidRDefault="00E845CC" w:rsidP="005D1CF6">
      <w:pPr>
        <w:widowControl w:val="0"/>
        <w:autoSpaceDE w:val="0"/>
        <w:autoSpaceDN w:val="0"/>
        <w:adjustRightInd w:val="0"/>
        <w:spacing w:after="12pt" w:line="18pt" w:lineRule="auto"/>
        <w:ind w:start="34pt" w:hanging="34pt"/>
        <w:jc w:val="center"/>
        <w:rPr>
          <w:rFonts w:ascii="Times New Roman" w:hAnsi="Times New Roman" w:cs="Times New Roman"/>
          <w:b/>
          <w:lang w:val="pt-BR"/>
        </w:rPr>
      </w:pPr>
    </w:p>
    <w:p w14:paraId="2042351D" w14:textId="77777777" w:rsidR="00E845CC" w:rsidRPr="00C0608D" w:rsidRDefault="00E845CC" w:rsidP="005D1CF6">
      <w:pPr>
        <w:widowControl w:val="0"/>
        <w:autoSpaceDE w:val="0"/>
        <w:autoSpaceDN w:val="0"/>
        <w:adjustRightInd w:val="0"/>
        <w:spacing w:after="12pt" w:line="18pt" w:lineRule="auto"/>
        <w:ind w:start="34pt" w:hanging="34pt"/>
        <w:jc w:val="center"/>
        <w:rPr>
          <w:rFonts w:ascii="Times New Roman" w:hAnsi="Times New Roman" w:cs="Times New Roman"/>
          <w:b/>
          <w:lang w:val="pt-BR"/>
        </w:rPr>
      </w:pPr>
    </w:p>
    <w:p w14:paraId="3882197F" w14:textId="77777777" w:rsidR="00E845CC" w:rsidRPr="00C0608D" w:rsidRDefault="00E845CC" w:rsidP="005D1CF6">
      <w:pPr>
        <w:widowControl w:val="0"/>
        <w:autoSpaceDE w:val="0"/>
        <w:autoSpaceDN w:val="0"/>
        <w:adjustRightInd w:val="0"/>
        <w:spacing w:after="12pt" w:line="18pt" w:lineRule="auto"/>
        <w:ind w:start="34pt" w:hanging="34pt"/>
        <w:jc w:val="center"/>
        <w:rPr>
          <w:rFonts w:ascii="Times New Roman" w:hAnsi="Times New Roman" w:cs="Times New Roman"/>
          <w:b/>
          <w:lang w:val="pt-BR"/>
        </w:rPr>
      </w:pPr>
    </w:p>
    <w:p w14:paraId="09796366" w14:textId="26FC4F7C" w:rsidR="005D1CF6" w:rsidRPr="005D1CF6" w:rsidRDefault="005D1CF6" w:rsidP="005D1CF6">
      <w:pPr>
        <w:widowControl w:val="0"/>
        <w:autoSpaceDE w:val="0"/>
        <w:autoSpaceDN w:val="0"/>
        <w:adjustRightInd w:val="0"/>
        <w:spacing w:after="12pt" w:line="18pt" w:lineRule="auto"/>
        <w:ind w:start="34pt" w:hanging="34pt"/>
        <w:jc w:val="center"/>
        <w:rPr>
          <w:rFonts w:ascii="Times New Roman" w:hAnsi="Times New Roman" w:cs="Times New Roman"/>
          <w:b/>
          <w:lang w:val="es-PE"/>
        </w:rPr>
      </w:pPr>
      <w:r w:rsidRPr="005D1CF6">
        <w:rPr>
          <w:rFonts w:ascii="Times New Roman" w:hAnsi="Times New Roman" w:cs="Times New Roman"/>
          <w:b/>
          <w:lang w:val="es-PE"/>
        </w:rPr>
        <w:t>Introducción</w:t>
      </w:r>
      <w:bookmarkEnd w:id="0"/>
      <w:bookmarkEnd w:id="1"/>
    </w:p>
    <w:p w14:paraId="3DCDC1C8" w14:textId="77777777" w:rsidR="00E845CC" w:rsidRPr="00E845CC" w:rsidRDefault="00E845CC" w:rsidP="00C0608D">
      <w:pPr>
        <w:widowControl w:val="0"/>
        <w:autoSpaceDE w:val="0"/>
        <w:autoSpaceDN w:val="0"/>
        <w:adjustRightInd w:val="0"/>
        <w:spacing w:after="12pt" w:line="18pt" w:lineRule="auto"/>
        <w:jc w:val="both"/>
        <w:rPr>
          <w:rFonts w:ascii="Times New Roman" w:hAnsi="Times New Roman" w:cs="Times New Roman"/>
          <w:lang w:val="es-PE"/>
        </w:rPr>
      </w:pPr>
      <w:r w:rsidRPr="00E845CC">
        <w:rPr>
          <w:rFonts w:ascii="Times New Roman" w:hAnsi="Times New Roman" w:cs="Times New Roman"/>
          <w:lang w:val="es-PE"/>
        </w:rPr>
        <w:t xml:space="preserve">En los diferentes sectores económicos emergentes alrededor del mundo, la falta de conciencia laboral y valores tributarios, generan mucha informalidad, la misma que trae consigo la ausencia del cumplimiento de las obligaciones tributarias, laborales, entre otras. Todo esto como consecuencia de la insensibilidad de los comerciantes para con la norma que los rige. </w:t>
      </w:r>
    </w:p>
    <w:p w14:paraId="198FFBF0"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{"citationItems":[{"id":"ITEM-1","itemData":{"author":[{"dropping-particle":"","family":"Peruano","given":"","non-dropping-particle":"El","parse-names":false,"suffix":""}],"container-title":"El Peruano2","id":"ITEM-1","issued":{"date-parts":[["2022","2","22"]]},"title":"Recaudación tributaria creció 88.2% en agosto","type":"article-newspaper"},"uris":["http://www.mendeley.com/documents/?uuid=e9a50b24-9dea-4945-abf1-f36de117a19c"]}],"mendeley":{"formattedCitation":"(El Peruano, 2022)","manualFormatting":"El Peruano (2022)","plainTextFormattedCitation":"(El Peruano, 2022)","previouslyFormattedCitation":"(El Peruano, 2022)"},"properties":{"noteIndex":0},"schema":"https://github.com/citation-style-language/schema/raw/master/csl-citation.json"}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El Peruano (2022)</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emitió un informe que señala que el Perú ha registrado índices de crecimiento tributario, para ser más exactos, un 88.2%, sin embargo, esto no es debido al crecimiento del cumplimiento de las obligaciones tributarias, sino por el pago retrasado de impuestos de algunas empresas mineras. El Instituto Nacional de Estadística e Informática (INEI) en su informe de informalidad laboral en el año 2021 señala que el 2021 la informalidad laboral fue de 78.2%, un 3.7% más que el 2021, además informó que la mayor tasa de informalidad se encuentra en la selva, seguida por la sierra y finalmente la costa, para Lima Metropolitana se registró 2’233,300 empleos informales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{"citationItems":[{"id":"ITEM-1","itemData":{"author":[{"dropping-particle":"","family":"Comercio","given":"","non-dropping-particle":"El","parse-names":false,"suffix":""}],"container-title":"El Comercio","id":"ITEM-1","issued":{"date-parts":[["2021","11","15"]]},"title":"Informalidad laboral alcanzó al 78,2% de peruanos en el último año, según INEI","type":"article-newspaper"},"uris":["http://www.mendeley.com/documents/?uuid=7d4bfad6-465c-4405-be22-4a9bc9bb2163"]}],"mendeley":{"formattedCitation":"(El Comercio, 2021)","plainTextFormattedCitation":"(El Comercio, 2021)","previouslyFormattedCitation":"(El Comercio, 2021)"},"properties":{"noteIndex":0},"schema":"https://github.com/citation-style-language/schema/raw/master/csl-citation.json"}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(El Comercio, 2021)</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De esta manera se puede entender que la informalidad en Lima Metropolitana es un problema grande, que es ocasionado por factores como: el costo excesivo de la legalidad, los procesos de fiscalización, la pobreza, la migración de personas a la capital, la demanda de conocimientos tecnológicos, entre otros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{"citationItems":[{"id":"ITEM-1","itemData":{"DOI":"10.15381/quipu.v26i50.14723","ISSN":"1560-9103","abstract":"La investigación permitió explicar la Existencia de influencia de la Dimensión de la Informalidad de las Mypes en la Recaudación del IGV, durante el periodo 2010-2014, y por qué la Informalidad de las Mypes fue un factor que influencio en la Recaudación del IGV. Periodo 2010-2014, A partir de dicho objetivo, se realizó un análisis descriptivo – explicativo sobre la relación entre las variables para esto, se utilizó data oficial del Ministerio de la Producción, ministerio de trabajo, sunat entre otros.Siendo así, se obtuvo como principal resultado que si existe Influencia de la Dimensión de la Informalidad de las MYPES en la Recaudación del IGV en el periodo 2010-2014 y que el grado de dicha Influencia es estadísticamente significativa. De este modo, se concluyó que la Informalidad presente en las Mypes, afecta significativamente la recaudación del IGV. Y consiguientemente, los ingresos tributarios del gobierno central y es la principal barrera para lograr la tan necesaria ampliación de la base Tributaria. Además, La Informalidad es uno de los problemas que el gobierno no ha podido dar solución, las cifras señalan que estas, inclusive se encuentran por encima de las empresas que operan respetando las normas internas. Y si bien este tipo de empresas crean escenarios favorables para la captación de mano de obra, generan distorsiones severas que en nada contribuyen al proceso de desarrollo.","author":[{"dropping-particle":"","family":"Mostacero","given":"Dany","non-dropping-particle":"","parse-names":false,"suffix":""}],"container-title":"Quipukamayoc","id":"ITEM-1","issue":"50","issued":{"date-parts":[["2018"]]},"page":"41-50","title":"Informalidad En Las Mypes Y Su Influencia En La Recaudación Del Impuesto General a Las Ventas","type":"article-journal","volume":"26"},"uris":["http://www.mendeley.com/documents/?uuid=c810f0d4-b312-4ba8-946a-2b0d1c1eb93c"]}],"mendeley":{"formattedCitation":"(Mostacero, 2018)","plainTextFormattedCitation":"(Mostacero, 2018)","previouslyFormattedCitation":"(Mostacero, 2018)"},"properties":{"noteIndex":0},"schema":"https://github.com/citation-style-language/schema/raw/master/csl-citation.json"}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(Mostacero, 2018)</w:t>
      </w:r>
      <w:r w:rsidRPr="00E845CC">
        <w:rPr>
          <w:rFonts w:ascii="Times New Roman" w:hAnsi="Times New Roman" w:cs="Times New Roman"/>
          <w:lang w:val="es-PE"/>
        </w:rPr>
        <w:fldChar w:fldCharType="end"/>
      </w:r>
      <w:r w:rsidRPr="00E845CC">
        <w:rPr>
          <w:rFonts w:ascii="Times New Roman" w:hAnsi="Times New Roman" w:cs="Times New Roman"/>
          <w:lang w:val="es-PE"/>
        </w:rPr>
        <w:t>. Esto a su vez muestra que la cultura de la informalidad laboral o la falta de cumplimiento de la norma laboral, es algo latente en nuestro país. Es así que la falta de cumplimiento de las obligaciones tributarias y laborales, solo generan que a carga fiscal y laboral, con el tiempo siga aumentando para poder cubrir las necesidades que tiene la caja fiscal peruana, afectando directamente a quienes sí cumplen con sus deberes.</w:t>
      </w:r>
    </w:p>
    <w:p w14:paraId="43C0D757"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Este estudio pretende dar luz acerca de la valoración real de los comerciantes hacia las obligaciones tributarias y laborales, cubriendo un vacío que hasta el momento no está muy explicado, ya que se cuentan con datos precisos de la evasión, informalidad tributaria, laboral, entre otros, pero se ha dejado de lado lo que los comerciantes pueden sentir. De esta forma se pretende beneficiar a la comunidad de interés tributario, la cual podría tomar el estudio como punto de partida para generar estrategias contra el incumplimiento de obligaciones comerciales.</w:t>
      </w:r>
    </w:p>
    <w:p w14:paraId="58120470"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lang w:val="es-PE"/>
        </w:rPr>
      </w:pPr>
      <w:r w:rsidRPr="00E845CC">
        <w:rPr>
          <w:rFonts w:ascii="Times New Roman" w:hAnsi="Times New Roman" w:cs="Times New Roman"/>
          <w:b/>
          <w:lang w:val="es-PE"/>
        </w:rPr>
        <w:t>Infracciones tributarias</w:t>
      </w:r>
    </w:p>
    <w:p w14:paraId="464122BD"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Una infracción tributaria puede ser definida como cualquier acción y omisión que comprenda el no cumplimiento de algún tipo de legislación, que en este caso puntual es la tributaria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{"citationItems":[{"id":"ITEM-1","itemData":{"abstract":"El estudio analiza la relación que existe entre la infracción tributaria y la utilidad en las empresas del emporio de Gamarra durante los periodos 2012-2015 Lima-Perú. Los datos utilizados fueron recopilados a través de un estudio contable en Gamarra , siendo 20 empresas en 4 periodos. El estudio es de tipo descriptivo correlacional con diseño no experimental , retrospectivo. Se utilizó como dimensiones, las infracciones relacionadas a la obligación de llevar libros y/o registros, declaraciones y cumplimiento de obligaciones tributarias; además se utilizó como tipos de utilidad: la utilidad bruta, operativa y neta. La relación entre l as infracciones relacionadas a la obligación de llevar libros y/o registros, declaraciones y cumplimiento de obligaciones tributarias y la utilidad , se analizaron mediante la prueba de correlación Rho de Spearman. De acuerdo a los resultados, las i nfracciones relacionadas con la obligación de llevar libros y/o registros no se relacionan significativamente con la utilidad bruta y operativa, a diferencia que con la utilidad neta si se relaciona significativamente, y las infracciones relacionadas con la obligación de presentar declaraciones y el cumplimiento de obligaciones tributarias no se relacionan significativamente con la utilidad bruta, operativa y neta. El estudio recomienda, tener un mejor control de las obligacion es tributarias de las empresas, declarar datos fehacientes, ser responsables con las obligaciones tributarias , asistir a las orientaciones que da SUNAT, y otros más. En conclusión, las infracciones de libros y registros contables se relacionan significativamente con la utilidad neta, porque presenta un mayor nivel de significancia, en tanto que las infracciones relacionadas a las decl araciones y al cumplimiento de las obligaciones tributarias no se relacionan significativamente con la utilidad bruta, operativa y neta.","author":[{"dropping-particle":"","family":"Sihuacuyo","given":"Jane","non-dropping-particle":"","parse-names":false,"suffix":""},{"dropping-particle":"","family":"Arisaca","given":"Luz","non-dropping-particle":"","parse-names":false,"suffix":""}],"id":"ITEM-1","issued":{"date-parts":[["2017"]]},"number-of-pages":"81","publisher":"Tesis de pregrado, Universidad Peruana Unión","title":"Infracciones tributarias y la utilidad de las empresas del emporio de Gamarra durante, los periodos 2012-2015, Lima Perú","type":"thesis"},"uris":["http://www.mendeley.com/documents/?uuid=fb296d32-ace6-4c08-ac81-72cbea8bb9f2"]}],"mendeley":{"formattedCitation":"(Sihuacuyo &amp; Arisaca, 2017)","plainTextFormattedCitation":"(Sihuacuyo &amp; Arisaca, 2017)","previouslyFormattedCitation":"(Sihuacuyo &amp; Arisaca, 2017)"},"properties":{"noteIndex":0},"schema":"https://github.com/citation-style-language/schema/raw/master/csl-citation.json"}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(Sihuacuyo &amp; Arisaca, 2017)</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Estas infracciones pueden ser dolosas o culposas siempre y cuando el incumplimiento de la norma se encuentre sancionado de acuerdo a alguna norma y además que la conducta también lo esté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{"citationItems":[{"id":"ITEM-1","itemData":{"abstract":"La presente investigación se desarrolló con el fin de demostrar el impacto de las infracciones tributarias, en la situación financiera del Hotel Amanecer, siendo nuestra principal conjetura que los incumplimientos feudatarios o (tributarios) contenidos en el reglamento feudatario (tributario), cometidas por el Hotel Amanecer inciden negativamente en su situación financiera. La presente investigación es de tipo explicativo y presenta un diseño no experimental. La población está constituida por 16 trabajadores del Hotel Amanecer, los cuales forman parte de muestra a quienes se le aplicó un cuestionario en base a preguntas cerradas con el propósito recabar información sobre los conocimientos que tienen acerca de las infracciones tributarias y los procesos que realizan en el día a día dentro de su centro de trabajo, además de ello se empleó el análisis documental. El Procesamiento de datos se desarrolló en tres etapas bien definidas, entre ellas el análisis de los resultados de los cuestionarios obtenidos y la evaluación de los Estados financieros antes y después de ocurridas las infracciones tributarias. Lo que resultó en la conclusión que las infracciones tributarias sí tienen un impacto negativos en la situación financiera del Hotel Amanecer, esto se sustenta en la disminución de un 25% de la Utilidad Neta en el segundo semestre respecto al primer semestre, donde debido a una sanción impuesta por SUNAT se ordena el cierre temporal por 10 días, para evitar que se vuelva a presentar esta situación se recomendó al administrador del Hotel Amanecer capacitarse en temas tributarios y/o acercarse a SUNAT, en donde de manera gratuita, podrá despejar cualquier duda.","author":[{"dropping-particle":"","family":"Carrasco","given":"Cynthia","non-dropping-particle":"","parse-names":false,"suffix":""}],"id":"ITEM-1","issued":{"date-parts":[["2018"]]},"number-of-pages":"155","publisher":"Tesis de pregrado, Universidad Autónoma del Perú","title":"Las Infracciones Tributarias Y Su Incidencia En La Situación Financiera Del Hotel Amanecer En El Año 2016","type":"thesis"},"uris":["http://www.mendeley.com/documents/?uuid=55c7789c-48f4-4ce3-97b4-b75223d52cd8"]}],"mendeley":{"formattedCitation":"(Carrasco, 2018)","plainTextFormattedCitation":"(Carrasco, 2018)","previouslyFormattedCitation":"(Carrasco, 2018)"},"properties":{"noteIndex":0},"schema":"https://github.com/citation-style-language/schema/raw/master/csl-citation.json"}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(Carrasco, 2018)</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Por último, es importante señalar que cuando existe una infracción tributaria, es decir, el incumplimiento de la norma, la parte afectada es el fisco y por lo tanto el tesoro público de un estado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{"citationItems":[{"id":"ITEM-1","itemData":{"author":[{"dropping-particle":"","family":"Caballero","given":"Eduardo","non-dropping-particle":"","parse-names":false,"suffix":""}],"container-title":"Revista Científica OMNES","id":"ITEM-1","issue":"1","issued":{"date-parts":[["2018"]]},"page":"7-19","title":"Infracciones Tributarias. Los elementos de la defraudación en la Ley Nº 125/91","type":"article-journal","volume":"1"},"uris":["http://www.mendeley.com/documents/?uuid=06b04df6-c732-4ec3-82ab-24430efa3592"]}],"mendeley":{"formattedCitation":"(Caballero, 2018)","plainTextFormattedCitation":"(Caballero, 2018)","previouslyFormattedCitation":"(Caballero, 2018)"},"properties":{"noteIndex":0},"schema":"https://github.com/citation-style-language/schema/raw/master/csl-citation.json"}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(Caballero, 2018)</w:t>
      </w:r>
      <w:r w:rsidRPr="00E845CC">
        <w:rPr>
          <w:rFonts w:ascii="Times New Roman" w:hAnsi="Times New Roman" w:cs="Times New Roman"/>
          <w:lang w:val="es-PE"/>
        </w:rPr>
        <w:fldChar w:fldCharType="end"/>
      </w:r>
      <w:r w:rsidRPr="00E845CC">
        <w:rPr>
          <w:rFonts w:ascii="Times New Roman" w:hAnsi="Times New Roman" w:cs="Times New Roman"/>
          <w:lang w:val="es-PE"/>
        </w:rPr>
        <w:t>.</w:t>
      </w:r>
    </w:p>
    <w:p w14:paraId="4BDE95A2"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lang w:val="es-PE"/>
        </w:rPr>
      </w:pPr>
      <w:r w:rsidRPr="00E845CC">
        <w:rPr>
          <w:rFonts w:ascii="Times New Roman" w:hAnsi="Times New Roman" w:cs="Times New Roman"/>
          <w:b/>
          <w:lang w:val="es-PE"/>
        </w:rPr>
        <w:t>Evasión tributaria</w:t>
      </w:r>
    </w:p>
    <w:p w14:paraId="351F540D"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La evasión tributaria, en la práctica se presenta desde la informalidad de diferente tipos de vendedores hasta los negocios más grandes y complejos y es materializada incluso a un nivel penal siempre que se pueda sustentar la defraudación tributaria con dolo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{"citationItems":[{"id":"ITEM-1","itemData":{"DOI":"10.37811/cl_rcm.v5i4.678","ISSN":"2707-2215","abstract":"En el presente artículo se aborda la figura de la evasión tributaria, también conocida como fraude fiscal y como esta tiene una clara afectación para el Estado frente a los impuestos que el mismo recauda y utiliza para el presupuesto público anual de todas las entidades que lo conforman. Se entiende que presupuesto público se ve reflejado en las obras, programas y políticas públicas que el Estado realiza. Es importante visualizar que la evasión tributaria se configura en delito cuando se materializa y se tipifica como delito de evasión fiscal cuando el contribuyente omite pagar el IGV o Impuesto a la Renta (IR) al Estado ocultando sus ingresos o bienes, la pena privativa de libertad oscila entre 5 y 12 años de cárcel. Asimismo, se ocupa de las principales causas de la evasión tributaria que derivan en una inacción en la tributación de impuestos de varios sectores no sólo empresas, sino personas naturales. En lo sucesivo, se precisarán las principales consecuencias que se derivan de la evasión tributaria y cuáles son sus efectos dentro del Estado y su desarrollo desde el marco aplicativo anual. De forma final, brindaremos algunas posibles soluciones para evitar la evasión tributaria, el cual es un problema que siempre se ha presentado en nuestro país y afecta al desarrollo del Estado a través de sus instituciones, políticas y programas sociales.","author":[{"dropping-particle":"","family":"Santillán","given":"Clara","non-dropping-particle":"","parse-names":false,"suffix":""},{"dropping-particle":"","family":"Barbaran","given":"Percy","non-dropping-particle":"","parse-names":false,"suffix":""}],"container-title":"Ciencia Latina Revista Científica Multidisciplinar","id":"ITEM-1","issue":"4","issued":{"date-parts":[["2021"]]},"page":"5097-5111","title":"La figura de la evasión tributaria y sus implicancias en el desarrollo socioeconómico del estado","type":"article-journal","volume":"5"},"uris":["http://www.mendeley.com/documents/?uuid=c0d4cc61-c422-4129-8c47-7031cf7764a7"]}],"mendeley":{"formattedCitation":"(Santillán &amp; Barbaran, 2021)","plainTextFormattedCitation":"(Santillán &amp; Barbaran, 2021)","previouslyFormattedCitation":"(Santillán &amp; Barbaran, 2021)"},"properties":{"noteIndex":0},"schema":"https://github.com/citation-style-language/schema/raw/master/csl-citation.json"}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(Santillán &amp; Barbaran, 2021)</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Considerando que la evasión tributaria es parte del comercio en un país, puede ser considerada como una medida de gestión de la fiscalización por parte de la administración tributaria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{"citationItems":[{"id":"ITEM-1","itemData":{"author":[{"dropping-particle":"","family":"Macedo","given":"Jesús","non-dropping-particle":"","parse-names":false,"suffix":""}],"id":"ITEM-1","issued":{"date-parts":[["2020"]]},"publisher":"Tesis de pre grado, Universidad Nacional Santiago Antúnez de Mayolo","title":"Auditoría Tributaria y su Incidencia en la Reducción de la Evasión Tributario, de las Mypes de la Ciudad de Huaraz, 2013","type":"thesis"},"uris":["http://www.mendeley.com/documents/?uuid=e431a946-8bfc-4461-8302-d9c27f2fc6c9"]}],"mendeley":{"formattedCitation":"(Macedo, 2020)","plainTextFormattedCitation":"(Macedo, 2020)","previouslyFormattedCitation":"(Macedo, 2020)"},"properties":{"noteIndex":0},"schema":"https://github.com/citation-style-language/schema/raw/master/csl-citation.json"}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(Macedo, 2020)</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Si la fiscalización de los tributos no es la adecuada se afecta la economía del estado y de la redistribución de la riqueza y el crecimiento económico no es el mejor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uthor":[{"dropping-particle":"","family":"Patiño","given":"Ruth","non-dropping-particle":"","parse-names":false,"suffix":""},{"dropping-particle":"","family":"Mendoza","given":"Sandy","non-dropping-particle":"","parse-names":false,"suffix":""},{"dropping-particle":"","family":"Quitanilla","given":"Diego","non-dropping-particle":"","parse-names":false,"suffix":""},{"dropping-particle":"","family":"Montenegro","given":"José","non-dropping-particle":"","parse-names":false,"suffix":""}],"container-title":"Revista Activos2","id":"ITEM-1","issue":"1","issued":{"date-parts":[["2019"]]},"page":"167-194","title":"Evasión tributaria, una revisión","type":"article-journal","volume":"17"},"uris":["http://www.mendeley.com/documents/?uuid=560eb005-d576-4ef8-8ba4-d756faa4cafb"]}],"mendeley":{"formattedCitation":"(Patiño et al., 2019)","plainTextFormattedCitation":"(Patiño et al., 2019)","previouslyFormattedCitation":"(Patiño et al., 2019)"},"properties":{"noteIndex":0},"schema":"https://github.com/citation-style-language/schema/raw/master/csl-citation.json"}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(Patiño et al., 2019)</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Por último, es importante mencionar que la evasión también puede ser considerada como el hecho de usar el marco legal para aplazar el pago de impuestos pero este último no afecta la economía del país porque se encuentra bajo los parámetros de la ley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{"citationItems":[{"id":"ITEM-1","itemData":{"abstract":"En la investigación titulada: La evasión tributaria y su impacto en la recaudación fiscal en el Perú, el objetivo general de la investigación fue determinar de qué manera influye la evasión tributaria en la recaudación fiscal en el Perú. El presente estudio de investigación permite conocer la importancia que tiene erradicar la evasión tributaria y la informalidad y como esto influye en la disminución de la recaudación fiscal perjudicando la inversión pública y por ende el bienestar común de los ciudadanos El tipo de investigación es básica, el nivel de investigación es explicativo y el diseño de la investigación es no experimental, transversal y el enfoque es cuantitativo. La muestra estuvo conformada por 384 contribuyentes de empresas formales. La técnica que se utilizó es la encuesta y los instrumentos de recolección de datos fueron dos escalas de opinión aplicados a los contribuyentes. Para la validez de los instrumentos se utilizó el juicio de expertos y para la confiabilidad de cada instrumento se utilizó el alfa de Crombach que salió alta en ambas variables: 0,872 para la variable evasión tributaria y 0,860 para la variable recaudación fiscal. Con referencia al objetivo general: Determinar la influencia de la evasión tributaria en la recaudación fiscal en el Perú, se concluye que existe influencia negativa de la evasión tributaria sobre la recaudación fiscal lo que se demuestra con el estadístico de regresión ordinal el cual arrojó una influencia de 90,8% de la variable evasión tributaria sobre la recaudación fiscal. Palabras","author":[{"dropping-particle":"","family":"Cornejo","given":"Shirley","non-dropping-particle":"","parse-names":false,"suffix":""}],"id":"ITEM-1","issued":{"date-parts":[["2017"]]},"publisher":"Tesis de pre grado, Universidad César Vallejo","title":"La evasión tributaria y su impacto en la recaudación fiscal en el Perú","type":"thesis"},"uris":["http://www.mendeley.com/documents/?uuid=39f88511-9c01-43e3-93a5-9bab4c5a0796"]}],"mendeley":{"formattedCitation":"(Cornejo, 2017)","plainTextFormattedCitation":"(Cornejo, 2017)","previouslyFormattedCitation":"(Cornejo, 2017)"},"properties":{"noteIndex":0},"schema":"https://github.com/citation-style-language/schema/raw/master/csl-citation.json"}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(Cornejo, 2017)</w:t>
      </w:r>
      <w:r w:rsidRPr="00E845CC">
        <w:rPr>
          <w:rFonts w:ascii="Times New Roman" w:hAnsi="Times New Roman" w:cs="Times New Roman"/>
          <w:lang w:val="es-PE"/>
        </w:rPr>
        <w:fldChar w:fldCharType="end"/>
      </w:r>
      <w:r w:rsidRPr="00E845CC">
        <w:rPr>
          <w:rFonts w:ascii="Times New Roman" w:hAnsi="Times New Roman" w:cs="Times New Roman"/>
          <w:lang w:val="es-PE"/>
        </w:rPr>
        <w:t>.</w:t>
      </w:r>
    </w:p>
    <w:p w14:paraId="0DE8354B"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lang w:val="es-PE"/>
        </w:rPr>
      </w:pPr>
      <w:r w:rsidRPr="00E845CC">
        <w:rPr>
          <w:rFonts w:ascii="Times New Roman" w:hAnsi="Times New Roman" w:cs="Times New Roman"/>
          <w:b/>
          <w:lang w:val="es-PE"/>
        </w:rPr>
        <w:t>Infracciones laborales</w:t>
      </w:r>
    </w:p>
    <w:p w14:paraId="20512510"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Para poder entender las infracciones laborales, primero es necesario entender que las mismas provienen de la dependencia que pueda existir entre un trabajador y un empleador o una persona que retribuye de alguna manera el trabajo realizado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{"citationItems":[{"id":"ITEM-1","itemData":{"ISSN":"1989-5992","abstract":"The present study checks the subject matter of the sexual abuse in the infancy, emphasizing the diverse contributions realized by different professionals. The current importance of the problematic supposes the need to do a valuation so much of the factors of risk as of the effects and sequels that in the minor produces such undesirable experience. For all this that finally has the obligation to treat the methodology of intervention commonly used.","author":[{"dropping-particle":"","family":"Monerri","given":"Concepción","non-dropping-particle":"","parse-names":false,"suffix":""}],"container-title":"Anales de Derecho","id":"ITEM-1","issue":"1","issued":{"date-parts":[["2017"]]},"page":"210-240","title":"El trabajador como sujeto infractor en materia de prevención de riesgos laborales","type":"article-journal","volume":"35"},"uris":["http://www.mendeley.com/documents/?uuid=ea480b31-5473-456d-b02c-85a2a5f790d3"]}],"mendeley":{"formattedCitation":"(Monerri, 2017)","plainTextFormattedCitation":"(Monerri, 2017)","previouslyFormattedCitation":"(Monerri, 2017)"},"properties":{"noteIndex":0},"schema":"https://github.com/citation-style-language/schema/raw/master/csl-citation.json"}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(Monerri, 2017)</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En el Perú la entidad encargada de velar por los trabajadores es el Ministerio de trabajo que señala que existen diversas faltas que pueden ser medidas de leve a muy grave y que según el tipo de falta tienen una sanción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{"citationItems":[{"id":"ITEM-1","itemData":{"author":[{"dropping-particle":"","family":"Olaza","given":"Dadfeny","non-dropping-particle":"","parse-names":false,"suffix":""}],"id":"ITEM-1","issued":{"date-parts":[["2020"]]},"publisher":"Tesis de pregrado, Universidad Nacional Agraria de la Selva","title":"Infracciones Laborales en los Empleadores en el Rubro de Restaurantes en la Ciudad de Tingo María","type":"thesis"},"uris":["http://www.mendeley.com/documents/?uuid=90f77099-70fe-4884-aff9-4c193b32f24c"]}],"mendeley":{"formattedCitation":"(Olaza, 2020)","plainTextFormattedCitation":"(Olaza, 2020)","previouslyFormattedCitation":"(Olaza, 2020)"},"properties":{"noteIndex":0},"schema":"https://github.com/citation-style-language/schema/raw/master/csl-citation.json"}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(Olaza, 2020)</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Las faltas son entendidas también como infracciones laborales que están relacionadas a conceptos como la seguridad social, salud laboral, entre algunas otras contenidas en la ley de trabajo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Kata","author":[{"dropping-particle":"","family":"Chávez","given":"Rosalía","non-dropping-particle":"","parse-names":false,"suffix":""}],"id":"ITEM-1","issued":{"date-parts":[["2019"]]},"publisher":"Tesis de pregrado, Universidad Nacional Agraria de la Selva","title":"Infracciones laborales en las MYPES Ferreteras de la ciudad de Tingo María: 2017","type":"thesis"},"uris":["http://www.mendeley.com/documents/?uuid=6dd625cf-d930-45f5-879b-a64c31870048"]}],"mendeley":{"formattedCitation":"(Chávez, 2019)","plainTextFormattedCitation":"(Chávez, 2019)","previouslyFormattedCitation":"(Chávez, 2019)"},"properties":{"noteIndex":0},"schema":"https://github.com/citation-style-language/schema/raw/master/csl-citation.json"}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(Chávez, 2019)</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{"citationItems":[{"id":"ITEM-1","itemData":{"abstract":"La presente tesis de Investigación “La Evasión Tributaria y su incidencia en la Recaudación Fiscal de las Empresas de Delivery-Pymes en Lima Metropolitana Período 2014-2018”, tiene como objetivo analizar cómo la evasión tributaria incide en la recaudación fiscal en este tipo de empresas. En tal sentido, los resultados obtenidos como producto de la recopilación de la información permiten afirmar que: la falta de conciencia tributaria, la no facturación de servicios, las infracciones tributarias y laborales","author":[{"dropping-particle":"","family":"Gonzales","given":"Eddy","non-dropping-particle":"","parse-names":false,"suffix":""}],"id":"ITEM-1","issued":{"date-parts":[["2019"]]},"publisher":"Tesis maestria, Universidad San Martín de Porres","title":"La evasión tributaria y su incidencia en la recaudación fiscal de las empresas de delivery- Pymes en Lima Metropolitana Período 2014-2018.","type":"thesis"},"uris":["http://www.mendeley.com/documents/?uuid=4d217bef-61bd-4857-8d24-28b89622302b"]}],"mendeley":{"formattedCitation":"(Gonzales, 2019)","plainTextFormattedCitation":"(Gonzales, 2019)","previouslyFormattedCitation":"(Gonzales, 2019)"},"properties":{"noteIndex":0},"schema":"https://github.com/citation-style-language/schema/raw/master/csl-citation.json"}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(Gonzales, 2019)</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menciona que las infracciones laborales también pueden ser diferentes según el gremio al que pertenezca un trabajador o clausulas específicas entre el trabajador y empleador.</w:t>
      </w:r>
    </w:p>
    <w:p w14:paraId="64078DBC"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lang w:val="es-PE"/>
        </w:rPr>
      </w:pPr>
      <w:r w:rsidRPr="00E845CC">
        <w:rPr>
          <w:rFonts w:ascii="Times New Roman" w:hAnsi="Times New Roman" w:cs="Times New Roman"/>
          <w:b/>
          <w:lang w:val="es-PE"/>
        </w:rPr>
        <w:t>Informalidad laboral</w:t>
      </w:r>
    </w:p>
    <w:p w14:paraId="10D5449C"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El término conocido como informalidad laboral se encuentra ligado con empleos sin estabilidad, que no necesitan de mucho capital humano, se pueden encontrar en su gran mayoría en empresas pequeñas (en ocasiones en unipersonales) y estos se caracterizan por la ausencia de filiación a seguridad social, además de condiciones dignas de trabajo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{"citationItems":[{"id":"ITEM-1","itemData":{"DOI":"10.19052/ed.4171","ISSN":"1692-7311","abstract":"En este artículo se analizan los determinantes socioeconómicos conjuntos de la informalidad laboral y el subempleo en el área metropolitana de Bucaramanga (AMB). Para ello se realizó un análisis descriptivo y se estimó un modelo biprobit a partir de los microdatos de la Gran Encuesta Integrada de Hogares de 2015. Los resultados muestran que el 16,52 % de los trabajadores del AMB padecen conjuntamente ambos fenómenos. Dentro de las variables que disminuyen la probabilidad de pertenecer a este grupo se encuentran la escolaridad, el ser hombre y la edad. Por su parte, variables como el tiempo transcurrido entre empleos y trabajar en el sector secundario o terciario incrementan la probabilidad conjunta de ser informal y subempleado.","author":[{"dropping-particle":"","family":"Carvajal","given":"Aura","non-dropping-particle":"","parse-names":false,"suffix":""},{"dropping-particle":"","family":"Cárdenas","given":"Leidy","non-dropping-particle":"","parse-names":false,"suffix":""},{"dropping-particle":"","family":"Estrada","given":"Ismael","non-dropping-particle":"","parse-names":false,"suffix":""}],"container-title":"Equidad y Desarrollo","id":"ITEM-1","issue":"29","issued":{"date-parts":[["2017"]]},"page":"53-82","title":"Determinantes socioeconómicos de la informalidad laboral y el subempleo en el área Metropolitana de Bucaramanga, Colombia","type":"article-journal","volume":"1"},"uris":["http://www.mendeley.com/documents/?uuid=acb0db3b-98d4-432c-8e72-87809ede2924"]}],"mendeley":{"formattedCitation":"(Carvajal et al., 2017)","plainTextFormattedCitation":"(Carvajal et al., 2017)","previouslyFormattedCitation":"(Carvajal et al., 2017)"},"properties":{"noteIndex":0},"schema":"https://github.com/citation-style-language/schema/raw/master/csl-citation.json"}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(Carvajal et al., 2017)</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{"citationItems":[{"id":"ITEM-1","itemData":{"abstract":"La muestra ha sido seleccionada por el muestreo no probabilístico es aquel en el cual no se conoce la probabilidad o posibilidad de cada uno de los elementos de una población de poder ser seleccionado en una muestra. (Sánchez Carlessi, Hugo, 1996:pag.116) en la razón que ya se cuentan con los grupos determinados, que son asignados por la dirección de la Institución Educativa. La muestra estuvo conformada por 22 alumnos que formaron parte del grupo control y 24 alumnos del grupo experimental. El análisis estadístico descriptivo mediante la prueba de hipótesis indica que, dentro de esta técnica se hizo uso de cuadros y gráficos estadísticos para vaciar y representar los resultados de la lista de cotejo, obtenidos de la aplicación del pre test y el pos test por ello llegamos a la conclusión que se tiene indicios suficientes para aceptar; que, la aplicación del Programa Dramatizando Juntos mejora la expresión oral.","author":[{"dropping-particle":"","family":"García","given":"Ena","non-dropping-particle":"","parse-names":false,"suffix":""}],"id":"ITEM-1","issued":{"date-parts":[["2016"]]},"publisher":"Tesis de pregrado, Universidad de Huánuco","title":"Los órganos de control del estado y la informalidad laoral en las micro y pequeñas empresas de la ciudad de Tingo María - 2016","type":"thesis"},"uris":["http://www.mendeley.com/documents/?uuid=1302aecd-abc6-4861-bfd8-8a7077ecb333"]}],"mendeley":{"formattedCitation":"(García, 2016)","manualFormatting":"García (2016)","plainTextFormattedCitation":"(García, 2016)","previouslyFormattedCitation":"(García, 2016)"},"properties":{"noteIndex":0},"schema":"https://github.com/citation-style-language/schema/raw/master/csl-citation.json"}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García (2016)</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señala que la informalidad laboral promueve la economía de la pobreza y de la exclusión social, representando en su gran mayoría a un estilo de vida de sobrevivencia. Este fenómeno es explicado por diferentes enfoques teóricos, como el enfoque estructuralista, el institucionalista, que se caracteriza por la agrupación de diversas actividades comerciales que en su mayoría son ilegales y que no tienen control del estado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{"citationItems":[{"id":"ITEM-1","itemData":{"abstract":"The high incidence of informal employment in the Puno Region is a major problem because it violates workers' labor rights. Since in the informality the workers do not have the mechanisms of social protection, such as the rights of health insurance and provisional insurance. According to ENAHO, informal employment in Peru accounted for 72.8% of the workforce, ie 11.5 million Peruvians have informal employment, of which 8.8 million (55.8%) work in the informal sector and 2.7 million (17.0% ) work as informal outside the informal sector. Peru's departments with a population of less than the national average (72.8%) are Tacna (69.1%), Moquegua (66.1%), Arequipa (65.1%), Ica 3%), Lima (60.3%) and the Constitutional Province of Callao (57.0%). However, the departments with the highest incidence of informal employment are Apurimac (94.2%), Huancavelica (91.6%), Puno (90.3%) and Tacna (68.8%). ENAHO-2014. The present research work: \"Analysis of the factors that determine labor informality in the District of Puno, 2016\"; is of great importance to know the situation in which men and women are found in informal work. In the present study, the logit model was applied, the main variables being age, gender, marital status, secondary education, higher education, non-labor income, migration and higher education of the father. The labor informality of individuals is explained by the independent variables by 33.75% by the coefficient of determination R2. This indicates that the variation in labor informality is explained by the explanatory variables in 33.75% in the District of Puno. The main result is that, the age of the workers is negatively related to the labor informality, in turn, the squared age is positive, which means the greater the age of the workers, the greater the labor informality, since the age at the square captures the declining marginal returns of the worker. However, marital status, non-labor income and lower educational levels tend to positively and significantly influence workers' informality. If the workers have higher education, in this case, the probability of being an informal worker decreases. On the other hand, if the parents of workers have higher education, in this case, the probability of being informal workers decreases significantly in the labor market of Puno. Regarding the variable migration, this variable is positively related to the labor informality of migrant workers in the city of Puno.","author":[{"dropping-particle":"","family":"Cuba","given":"Stiwarth","non-dropping-particle":"","parse-names":false,"suffix":""}],"id":"ITEM-1","issued":{"date-parts":[["2017"]]},"number-of-pages":"93","publisher":"Tesis de pregrado, Universidad Nacional del Altiplano","title":"Análisis de los Factores que Determinan la Informalidad Laboral en el Distrito de Puno, 2016","type":"thesis"},"uris":["http://www.mendeley.com/documents/?uuid=737d2257-a0e7-48c1-941c-5bc90d5f4705"]}],"mendeley":{"formattedCitation":"(Cuba, 2017)","plainTextFormattedCitation":"(Cuba, 2017)","previouslyFormattedCitation":"(Cuba, 2017)"},"properties":{"noteIndex":0},"schema":"https://github.com/citation-style-language/schema/raw/master/csl-citation.json"}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(Cuba, 2017)</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w:t>
      </w:r>
    </w:p>
    <w:p w14:paraId="292655BD" w14:textId="77777777" w:rsidR="008A1537" w:rsidRDefault="008A1537" w:rsidP="00E845CC">
      <w:pPr>
        <w:widowControl w:val="0"/>
        <w:autoSpaceDE w:val="0"/>
        <w:autoSpaceDN w:val="0"/>
        <w:adjustRightInd w:val="0"/>
        <w:spacing w:after="12pt" w:line="18pt" w:lineRule="auto"/>
        <w:ind w:firstLine="28.35pt"/>
        <w:jc w:val="center"/>
        <w:rPr>
          <w:rFonts w:ascii="Times New Roman" w:hAnsi="Times New Roman" w:cs="Times New Roman"/>
          <w:b/>
          <w:bCs/>
          <w:lang w:val="es-PE"/>
        </w:rPr>
      </w:pPr>
    </w:p>
    <w:p w14:paraId="60B5C9F2" w14:textId="21573203" w:rsidR="00E845CC" w:rsidRPr="00E845CC" w:rsidRDefault="00E845CC" w:rsidP="00E845CC">
      <w:pPr>
        <w:widowControl w:val="0"/>
        <w:autoSpaceDE w:val="0"/>
        <w:autoSpaceDN w:val="0"/>
        <w:adjustRightInd w:val="0"/>
        <w:spacing w:after="12pt" w:line="18pt" w:lineRule="auto"/>
        <w:ind w:firstLine="28.35pt"/>
        <w:jc w:val="center"/>
        <w:rPr>
          <w:rFonts w:ascii="Times New Roman" w:hAnsi="Times New Roman" w:cs="Times New Roman"/>
          <w:b/>
          <w:bCs/>
          <w:lang w:val="es-PE"/>
        </w:rPr>
      </w:pPr>
      <w:r w:rsidRPr="00E845CC">
        <w:rPr>
          <w:rFonts w:ascii="Times New Roman" w:hAnsi="Times New Roman" w:cs="Times New Roman"/>
          <w:b/>
          <w:bCs/>
          <w:lang w:val="es-PE"/>
        </w:rPr>
        <w:t>Metodología</w:t>
      </w:r>
    </w:p>
    <w:p w14:paraId="39112860"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El tipo de estudio de la investigación que se usó, fue descriptivo, porque se considera que se emite una opinión acerca de la realidad estudiada en los comerciantes en Lima. Un estudio descriptivo es el que muestra conocimiento acerca de la realidad encontrada en un espacio, dicho de otro modo, es el estado real en el que se encuentra un objeto de estudio o una variable de investigación.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{"citationItems":[{"id":"ITEM-1","itemData":{"ISSN":"16957504","abstract":"Ante la confusa y numerosa identidad y clasificación cultural de los Tipos de investigación, que con elevada frecuencia se encuentran redactadas en las Tesis de Pre y Post Grado universitarias, como una proyección de las Metodologías y Manuales de investigación; se plantea una simplificación resumida en tres tipos: Descriptivas, Analíticas y Experimentales, acompañadas de ejemplos en mapas mentales; y así facilitar el aprendizaje de los estudiantes y otros usuarios, confundidos y perdidos en el ámbito de una variedad nominativa complicada.","author":[{"dropping-particle":"","family":"Rojas","given":"Marcelo","non-dropping-particle":"","parse-names":false,"suffix":""}],"container-title":"Revista Electronica de Veterinaria","id":"ITEM-1","issue":"1","issued":{"date-parts":[["2015"]]},"page":"1-14","title":"Tipos de Investigación científica: Una simplificación de la complicada incoherente nomenclatura y clasificación","type":"article-journal","volume":"16"},"uris":["http://www.mendeley.com/documents/?uuid=15b2b4bd-f0b9-4450-b442-a22f09eaa897"]}],"mendeley":{"formattedCitation":"(Rojas, 2015)","manualFormatting":"Rojas, 2015)","plainTextFormattedCitation":"(Rojas, 2015)","previouslyFormattedCitation":"(Rojas, 2015)"},"properties":{"noteIndex":0},"schema":"https://github.com/citation-style-language/schema/raw/master/csl-citation.json"}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Rojas, 2015)</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w:t>
      </w:r>
    </w:p>
    <w:p w14:paraId="6246AE15" w14:textId="7EECF53A"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Por otro lado, es necesario señalar que fue de enfoque cuantitativo</w:t>
      </w:r>
      <w:r w:rsidR="00C0608D">
        <w:rPr>
          <w:rFonts w:ascii="Times New Roman" w:hAnsi="Times New Roman" w:cs="Times New Roman"/>
          <w:lang w:val="es-PE"/>
        </w:rPr>
        <w:t>; pa</w:t>
      </w:r>
      <w:r w:rsidRPr="00E845CC">
        <w:rPr>
          <w:rFonts w:ascii="Times New Roman" w:hAnsi="Times New Roman" w:cs="Times New Roman"/>
          <w:lang w:val="es-PE"/>
        </w:rPr>
        <w:t xml:space="preserve">ra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{"citationItems":[{"id":"ITEM-1","itemData":{"ISSN":"16750306","abstract":"The Aging Male Symptoms Scale (AMS) measures health-related quality of life in aging men. The objective of this paper is to describe the translation and validation of the AMS into Bahasa Melayu (BM). The original English version of the AMS was translated into BM by 2 translators to produce BM1 and BM2, and subsequently harmonized to produce BM3. Two other independent translators, blinded to the English version, back-translated BM3 to yield E2 and E3. All versions (BM1, BM2, BM3, E2, E3) were compared with the English version. The BM pre-final version was produced, and pre-tested in 8 participants. Proportion Agreement, Weighted Kappa, Spearman Rank Correlation Coefficient, and verbatim responses were used. The English and the BM versions showed excellent equivalence (weighted Kappa and Spearman Rank Coefficients, ranged from 0.72 to 1.00, and Proportion Agreement values ranged from 75.0% to 100%). In conclusion, the BM version of the AMS was successfully translated and adapted.","author":[{"dropping-particle":"","family":"López","given":"Nelly","non-dropping-particle":"","parse-names":false,"suffix":""},{"dropping-particle":"","family":"Sandoval","given":"Irma","non-dropping-particle":"","parse-names":false,"suffix":""}],"container-title":"Malaysian Journal of Public Health Medicine","id":"ITEM-1","issue":"2","issued":{"date-parts":[["2016"]]},"page":"17-23","title":"Métodos y técnicas de investigación cuantitativa y cualitativa","type":"article-journal","volume":"15"},"uris":["http://www.mendeley.com/documents/?uuid=29c3384c-0a5d-4a9c-a6a7-45c1c4ced578"]}],"mendeley":{"formattedCitation":"(López &amp; Sandoval, 2016)","manualFormatting":"López y Sandoval (2016)","plainTextFormattedCitation":"(López &amp; Sandoval, 2016)","previouslyFormattedCitation":"(López &amp; Sandoval, 2016)"},"properties":{"noteIndex":0},"schema":"https://github.com/citation-style-language/schema/raw/master/csl-citation.json"}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López y Sandoval (2016)</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es el método que se encuentra estructurado y el orden con el que cuenta, tiene el fin de la medición cuantitativa o numérica de una variable de estudio, de una unidad de estudio, un fenómeno, etc. y de esta forma brindar respuesta a los objetivos previamente planteados.</w:t>
      </w:r>
    </w:p>
    <w:p w14:paraId="4C915935"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El diseño del estudio tuvo un corte transversal y un diseño no experimental. Un diseño no experimental no está caracterizado por la manipulación de una variable ni por la intención del cambio en el comportamiento de la misma, sino que analiza y estudia la variable en su estado natural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{"citationItems":[{"id":"ITEM-1","itemData":{"ISSN":"16750306","abstract":"The Aging Male Symptoms Scale (AMS) measures health-related quality of life in aging men. The objective of this paper is to describe the translation and validation of the AMS into Bahasa Melayu (BM). The original English version of the AMS was translated into BM by 2 translators to produce BM1 and BM2, and subsequently harmonized to produce BM3. Two other independent translators, blinded to the English version, back-translated BM3 to yield E2 and E3. All versions (BM1, BM2, BM3, E2, E3) were compared with the English version. The BM pre-final version was produced, and pre-tested in 8 participants. Proportion Agreement, Weighted Kappa, Spearman Rank Correlation Coefficient, and verbatim responses were used. The English and the BM versions showed excellent equivalence (weighted Kappa and Spearman Rank Coefficients, ranged from 0.72 to 1.00, and Proportion Agreement values ranged from 75.0% to 100%). In conclusion, the BM version of the AMS was successfully translated and adapted.","author":[{"dropping-particle":"","family":"López","given":"Nelly","non-dropping-particle":"","parse-names":false,"suffix":""},{"dropping-particle":"","family":"Sandoval","given":"Irma","non-dropping-particle":"","parse-names":false,"suffix":""}],"container-title":"Malaysian Journal of Public Health Medicine","id":"ITEM-1","issue":"2","issued":{"date-parts":[["2016"]]},"page":"17-23","title":"Métodos y técnicas de investigación cuantitativa y cualitativa","type":"article-journal","volume":"15"},"uris":["http://www.mendeley.com/documents/?uuid=29c3384c-0a5d-4a9c-a6a7-45c1c4ced578"]}],"mendeley":{"formattedCitation":"(López &amp; Sandoval, 2016)","manualFormatting":"(López y Sandoval 2016)","plainTextFormattedCitation":"(López &amp; Sandoval, 2016)","previouslyFormattedCitation":"(López &amp; Sandoval, 2016)"},"properties":{"noteIndex":0},"schema":"https://github.com/citation-style-language/schema/raw/master/csl-citation.json"}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(López y Sandoval 2016)</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Por otro lado,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{"citationItems":[{"id":"ITEM-1","itemData":{"ISSN":"16957504","abstract":"Ante la confusa y numerosa identidad y clasificación cultural de los Tipos de investigación, que con elevada frecuencia se encuentran redactadas en las Tesis de Pre y Post Grado universitarias, como una proyección de las Metodologías y Manuales de investigación; se plantea una simplificación resumida en tres tipos: Descriptivas, Analíticas y Experimentales, acompañadas de ejemplos en mapas mentales; y así facilitar el aprendizaje de los estudiantes y otros usuarios, confundidos y perdidos en el ámbito de una variedad nominativa complicada.","author":[{"dropping-particle":"","family":"Rojas","given":"Marcelo","non-dropping-particle":"","parse-names":false,"suffix":""}],"container-title":"Revista Electronica de Veterinaria","id":"ITEM-1","issue":"1","issued":{"date-parts":[["2015"]]},"page":"1-14","title":"Tipos de Investigación científica: Una simplificación de la complicada incoherente nomenclatura y clasificación","type":"article-journal","volume":"16"},"uris":["http://www.mendeley.com/documents/?uuid=15b2b4bd-f0b9-4450-b442-a22f09eaa897"]}],"mendeley":{"formattedCitation":"(Rojas, 2015)","manualFormatting":"Rojas (2015)","plainTextFormattedCitation":"(Rojas, 2015)","previouslyFormattedCitation":"(Rojas, 2015)"},"properties":{"noteIndex":0},"schema":"https://github.com/citation-style-language/schema/raw/master/csl-citation.json"}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Rojas (2015)</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sostiene que un estudio de corte transversal es aquel que selecciona un momento determinado dentro de la línea de tiempo para realizar un corte y analizar un fenómeno o variable en ese momento seleccionado.</w:t>
      </w:r>
    </w:p>
    <w:p w14:paraId="7F183093"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rPr>
      </w:pPr>
      <w:r w:rsidRPr="00E845CC">
        <w:rPr>
          <w:rFonts w:ascii="Times New Roman" w:hAnsi="Times New Roman" w:cs="Times New Roman"/>
        </w:rPr>
        <w:t xml:space="preserve">La población en un estudio, es el </w:t>
      </w:r>
      <w:r w:rsidRPr="00E845CC">
        <w:rPr>
          <w:rFonts w:ascii="Times New Roman" w:hAnsi="Times New Roman" w:cs="Times New Roman"/>
          <w:lang w:val="es-PE"/>
        </w:rPr>
        <w:t>conjunto</w:t>
      </w:r>
      <w:r w:rsidRPr="00E845CC">
        <w:rPr>
          <w:rFonts w:ascii="Times New Roman" w:hAnsi="Times New Roman" w:cs="Times New Roman"/>
        </w:rPr>
        <w:t xml:space="preserve"> de personas u objetos, sus aspectos y limitaciones y puede ser estudiada, medida y cuantificada para la resolución del problema de investigación. Esta es determinada por el investigador en función a las características, especificaciones y objetivos de la investigación </w:t>
      </w:r>
      <w:r w:rsidRPr="00E845CC">
        <w:rPr>
          <w:rFonts w:ascii="Times New Roman" w:hAnsi="Times New Roman" w:cs="Times New Roman"/>
        </w:rPr>
        <w:fldChar w:fldCharType="begin" w:fldLock="1"/>
      </w:r>
      <w:r w:rsidRPr="00E845CC">
        <w:rPr>
          <w:rFonts w:ascii="Times New Roman" w:hAnsi="Times New Roman" w:cs="Times New Roman"/>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approach.","author":[{"dropping-particle":"","family":"Santiesteban","given":"Ernan","non-dropping-particle":"","parse-names":false,"suffix":""}],"edition":"Primera Ed","editor":[{"dropping-particle":"","family":"Santos","given":"Erik","non-dropping-particle":"","parse-names":false,"suffix":""}],"id":"ITEM-1","issued":{"date-parts":[["2014"]]},"publisher":"EDACUN","publisher-place":"Las Tunas","title":"Metodología de la Investigación Científica","type":"book"},"uris":["http://www.mendeley.com/documents/?uuid=ebc72ecc-0bfc-440c-bad3-fbdf0f334b94"]}],"mendeley":{"formattedCitation":"(Santiesteban, 2014)","plainTextFormattedCitation":"(Santiesteban, 2014)","previouslyFormattedCitation":"(Santiesteban, 2014)"},"properties":{"noteIndex":0},"schema":"https://github.com/citation-style-language/schema/raw/master/csl-citation.json"}</w:instrText>
      </w:r>
      <w:r w:rsidRPr="00E845CC">
        <w:rPr>
          <w:rFonts w:ascii="Times New Roman" w:hAnsi="Times New Roman" w:cs="Times New Roman"/>
        </w:rPr>
        <w:fldChar w:fldCharType="separate"/>
      </w:r>
      <w:r w:rsidRPr="00E845CC">
        <w:rPr>
          <w:rFonts w:ascii="Times New Roman" w:hAnsi="Times New Roman" w:cs="Times New Roman"/>
        </w:rPr>
        <w:t>(Santiesteban, 2014)</w:t>
      </w:r>
      <w:r w:rsidRPr="00E845CC">
        <w:rPr>
          <w:rFonts w:ascii="Times New Roman" w:hAnsi="Times New Roman" w:cs="Times New Roman"/>
          <w:lang w:val="es-PE"/>
        </w:rPr>
        <w:fldChar w:fldCharType="end"/>
      </w:r>
      <w:r w:rsidRPr="00E845CC">
        <w:rPr>
          <w:rFonts w:ascii="Times New Roman" w:hAnsi="Times New Roman" w:cs="Times New Roman"/>
        </w:rPr>
        <w:t>.</w:t>
      </w:r>
      <w:r w:rsidRPr="00E845CC">
        <w:rPr>
          <w:rFonts w:ascii="Times New Roman" w:hAnsi="Times New Roman" w:cs="Times New Roman"/>
          <w:lang w:val="es-PE"/>
        </w:rPr>
        <w:t xml:space="preserve"> Para este estudio la población estuvo conformada por los comerciantes de la ciudad de Lima.</w:t>
      </w:r>
    </w:p>
    <w:p w14:paraId="5E0C6DF0"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El muestreo es el método que se utiliza para la selección de la muestra en una población determinada. Este procedimiento permite que la muestra represente de manera acertada a la población que será estudiada y puede ser probabilístico, simple, no probabilístico, accidental e intencional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{"citationItems":[{"id":"ITEM-1","itemData":{"ISBN":"978-1-4562-6096-5","abstract":"Metodología de la investigación: Las rutas cuantitativa, cualitativa y mixta, es una obra nueva (primera edición) que ha venido a sustituir al texto Metodología de la investigación que durante casi 28 años fue publicado en seis ediciones. Se trata de un texto completamente actualizado e innovador, mucho más gráfico, didáctico, personalizado y multidisciplinario. Su contenido se refiere a la investigación científica y a la inves- tigación aplicada al desarrollo profesional; y es producto de las ideas, aportaciones y experiencias que han proporcionado centenas de docentes e investigadores en Iberoamérica y diversos científi- cos y profesionales del mundo. El resultado es un libro interactivo que vincula el contenido del texto impreso con el material incluido en su Centro de recursos en línea, y que a lo largo de sus páginas se ha destacado con el ícono que se muestra al costado.","author":[{"dropping-particle":"","family":"Hernández","given":"Roberto","non-dropping-particle":"","parse-names":false,"suffix":""},{"dropping-particle":"","family":"Mendoza","given":"Christian","non-dropping-particle":"","parse-names":false,"suffix":""}],"edition":"Primera ed","editor":[{"dropping-particle":"","family":"McGraw-Hill Interamericana Editores","given":"S.a de C.V","non-dropping-particle":"","parse-names":false,"suffix":""}],"id":"ITEM-1","issued":{"date-parts":[["2018"]]},"publisher":"McGraw-Hill Education","publisher-place":"Ciudad de Mexico","title":"Metodología de la Investiación. Las rutas cuantitativa, cualitativa y mixta","type":"book"},"uris":["http://www.mendeley.com/documents/?uuid=e2e53c9b-b9a7-4dfe-af21-30218773aa3f"]}],"mendeley":{"formattedCitation":"(R. Hernández &amp; Mendoza, 2018)","manualFormatting":"(R. Hernández y Mendoza, 2018)","plainTextFormattedCitation":"(R. Hernández &amp; Mendoza, 2018)","previouslyFormattedCitation":"(R. Hernández &amp; Mendoza, 2018)"},"properties":{"noteIndex":0},"schema":"https://github.com/citation-style-language/schema/raw/master/csl-citation.json"}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(R. Hernández y Mendoza, 2018)</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Para este estudio, la muestra será no probabilística y por conveniencia, lo que hizo un total de 350 comerciantes. </w:t>
      </w:r>
    </w:p>
    <w:p w14:paraId="1DE277D1"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r w:rsidRPr="00E845CC">
        <w:rPr>
          <w:rFonts w:ascii="Times New Roman" w:hAnsi="Times New Roman" w:cs="Times New Roman"/>
          <w:lang w:val="es-PE"/>
        </w:rPr>
        <w:t xml:space="preserve">La recolección de datos se hizo por medio de la encuesta. Según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{"citationItems":[{"id":"ITEM-1","itemData":{"ISBN":"9781505894196","abstract":"Predicting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approach.","author":[{"dropping-particle":"","family":"Supo","given":"José","non-dropping-particle":"","parse-names":false,"suffix":""}],"edition":"Primera ed","editor":[{"dropping-particle":"","family":"EIRL","given":"Bioestadistico","non-dropping-particle":"","parse-names":false,"suffix":""}],"id":"ITEM-1","issued":{"date-parts":[["2015"]]},"publisher":"Bioestadistico","publisher-place":"Arequipa","title":"Cómo empezar una tesis. Tu proyecto de investigación en un solo día","type":"book"},"uris":["http://www.mendeley.com/documents/?uuid=ffbe321c-1532-4f14-80c1-6f2453f6411c"]}],"mendeley":{"formattedCitation":"(Supo, 2015)","manualFormatting":"Supo (2015)","plainTextFormattedCitation":"(Supo, 2015)","previouslyFormattedCitation":"(Supo, 2015)"},"properties":{"noteIndex":0},"schema":"https://github.com/citation-style-language/schema/raw/master/csl-citation.json"}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Supo (2015)</w:t>
      </w:r>
      <w:r w:rsidRPr="00E845CC">
        <w:rPr>
          <w:rFonts w:ascii="Times New Roman" w:hAnsi="Times New Roman" w:cs="Times New Roman"/>
          <w:lang w:val="es-PE"/>
        </w:rPr>
        <w:fldChar w:fldCharType="end"/>
      </w:r>
      <w:r w:rsidRPr="00E845CC">
        <w:rPr>
          <w:rFonts w:ascii="Times New Roman" w:hAnsi="Times New Roman" w:cs="Times New Roman"/>
          <w:lang w:val="es-PE"/>
        </w:rPr>
        <w:t>, la encuesta es la forma de recolectar información de forma ordenada y codificada que se encuentra estructurada de acuerdo a la teoría que se investiga y que permite conocer las percepciones de los individuos. Es así que el instrumento aplicado estuvo compuesto por 14 preguntas relacionadas a lo que indica la norma tributaria y laboral en el Perú. También es necesario mencionar que este instrumento fue validado por expertos contables.</w:t>
      </w:r>
    </w:p>
    <w:p w14:paraId="188E662E" w14:textId="77777777" w:rsidR="008A1537" w:rsidRDefault="008A1537" w:rsidP="008A1537">
      <w:pPr>
        <w:widowControl w:val="0"/>
        <w:autoSpaceDE w:val="0"/>
        <w:autoSpaceDN w:val="0"/>
        <w:adjustRightInd w:val="0"/>
        <w:spacing w:after="12pt" w:line="18pt" w:lineRule="auto"/>
        <w:ind w:firstLine="28.35pt"/>
        <w:jc w:val="center"/>
        <w:rPr>
          <w:rFonts w:ascii="Times New Roman" w:hAnsi="Times New Roman" w:cs="Times New Roman"/>
          <w:b/>
          <w:bCs/>
          <w:lang w:val="es-PE"/>
        </w:rPr>
      </w:pPr>
    </w:p>
    <w:p w14:paraId="141B486C" w14:textId="3EB3F36D" w:rsidR="00E845CC" w:rsidRPr="00E845CC" w:rsidRDefault="00E845CC" w:rsidP="008A1537">
      <w:pPr>
        <w:widowControl w:val="0"/>
        <w:autoSpaceDE w:val="0"/>
        <w:autoSpaceDN w:val="0"/>
        <w:adjustRightInd w:val="0"/>
        <w:spacing w:after="12pt" w:line="18pt" w:lineRule="auto"/>
        <w:ind w:firstLine="28.35pt"/>
        <w:jc w:val="center"/>
        <w:rPr>
          <w:rFonts w:ascii="Times New Roman" w:hAnsi="Times New Roman" w:cs="Times New Roman"/>
          <w:b/>
          <w:bCs/>
          <w:lang w:val="es-PE"/>
        </w:rPr>
      </w:pPr>
      <w:r w:rsidRPr="00E845CC">
        <w:rPr>
          <w:rFonts w:ascii="Times New Roman" w:hAnsi="Times New Roman" w:cs="Times New Roman"/>
          <w:b/>
          <w:bCs/>
          <w:lang w:val="es-PE"/>
        </w:rPr>
        <w:t>Resultados</w:t>
      </w:r>
    </w:p>
    <w:p w14:paraId="75B61340"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De acuerdo con la naturaleza del estudio, se presentan los resultados descriptivos por cada dimensión de estudio (infracciones tributarias e infracciones laborales) considerando la muestra utilizada de 350 comerciantes en total, que incluye comerciantes del Nuevo Régimen Único Simplificado (NRUS), Régimen Especial de Renta (RER), Régimen para Micro y Pequeñas Empresas (MYPE) y para los comerciantes que no pertenecen a ninguno de estos Régimen se les consideró como (NA). También se incluyeron otras variables contables para una mejor comprensión del tema de estudio.</w:t>
      </w:r>
    </w:p>
    <w:p w14:paraId="5F007889" w14:textId="77777777" w:rsidR="008A1537" w:rsidRDefault="008A1537"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p>
    <w:p w14:paraId="650D6B0B" w14:textId="29F2B46D"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r w:rsidRPr="00E845CC">
        <w:rPr>
          <w:rFonts w:ascii="Times New Roman" w:hAnsi="Times New Roman" w:cs="Times New Roman"/>
          <w:b/>
          <w:bCs/>
          <w:lang w:val="es-PE"/>
        </w:rPr>
        <w:t>Análisis de la valoración de las infracciones tributarias</w:t>
      </w:r>
    </w:p>
    <w:p w14:paraId="4ED07B4F"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r w:rsidRPr="00E845CC">
        <w:rPr>
          <w:rFonts w:ascii="Times New Roman" w:hAnsi="Times New Roman" w:cs="Times New Roman"/>
          <w:b/>
          <w:bCs/>
          <w:lang w:val="es-PE"/>
        </w:rPr>
        <w:t>Tabla 1</w:t>
      </w:r>
    </w:p>
    <w:p w14:paraId="2F175846"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i/>
          <w:iCs/>
          <w:lang w:val="es-PE"/>
        </w:rPr>
      </w:pPr>
      <w:r w:rsidRPr="00E845CC">
        <w:rPr>
          <w:rFonts w:ascii="Times New Roman" w:hAnsi="Times New Roman" w:cs="Times New Roman"/>
          <w:i/>
          <w:iCs/>
          <w:lang w:val="es-PE"/>
        </w:rPr>
        <w:t>Descriptivos de los ítems de infracciones tributarias</w:t>
      </w:r>
    </w:p>
    <w:tbl>
      <w:tblPr>
        <w:tblW w:w="510.10pt" w:type="dxa"/>
        <w:tblInd w:w="-42.55pt" w:type="dxa"/>
        <w:tblCellMar>
          <w:start w:w="3.50pt" w:type="dxa"/>
          <w:end w:w="3.50pt" w:type="dxa"/>
        </w:tblCellMar>
        <w:tblLook w:firstRow="1" w:lastRow="0" w:firstColumn="1" w:lastColumn="0" w:noHBand="0" w:noVBand="1"/>
      </w:tblPr>
      <w:tblGrid>
        <w:gridCol w:w="1497"/>
        <w:gridCol w:w="782"/>
        <w:gridCol w:w="802"/>
        <w:gridCol w:w="670"/>
        <w:gridCol w:w="688"/>
        <w:gridCol w:w="670"/>
        <w:gridCol w:w="688"/>
        <w:gridCol w:w="670"/>
        <w:gridCol w:w="688"/>
        <w:gridCol w:w="833"/>
        <w:gridCol w:w="856"/>
        <w:gridCol w:w="670"/>
        <w:gridCol w:w="688"/>
      </w:tblGrid>
      <w:tr w:rsidR="00E845CC" w:rsidRPr="008A1537" w14:paraId="7CB9D83A" w14:textId="77777777" w:rsidTr="008A1537">
        <w:trPr>
          <w:trHeight w:val="785"/>
        </w:trPr>
        <w:tc>
          <w:tcPr>
            <w:tcW w:w="74.85pt" w:type="dxa"/>
            <w:vMerge w:val="restart"/>
            <w:tcBorders>
              <w:top w:val="single" w:sz="4" w:space="0" w:color="auto"/>
              <w:start w:val="nil"/>
              <w:bottom w:val="single" w:sz="4" w:space="0" w:color="000000"/>
              <w:end w:val="nil"/>
            </w:tcBorders>
            <w:shd w:val="clear" w:color="auto" w:fill="auto"/>
            <w:vAlign w:val="center"/>
            <w:hideMark/>
          </w:tcPr>
          <w:p w14:paraId="2DA22F5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Valoración</w:t>
            </w:r>
          </w:p>
        </w:tc>
        <w:tc>
          <w:tcPr>
            <w:tcW w:w="79.20pt" w:type="dxa"/>
            <w:gridSpan w:val="2"/>
            <w:tcBorders>
              <w:top w:val="single" w:sz="4" w:space="0" w:color="auto"/>
              <w:start w:val="nil"/>
              <w:bottom w:val="nil"/>
              <w:end w:val="nil"/>
            </w:tcBorders>
            <w:shd w:val="clear" w:color="auto" w:fill="auto"/>
            <w:vAlign w:val="center"/>
            <w:hideMark/>
          </w:tcPr>
          <w:p w14:paraId="41FF52D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Comprobantes de pago</w:t>
            </w:r>
          </w:p>
        </w:tc>
        <w:tc>
          <w:tcPr>
            <w:tcW w:w="67.90pt" w:type="dxa"/>
            <w:gridSpan w:val="2"/>
            <w:tcBorders>
              <w:top w:val="single" w:sz="4" w:space="0" w:color="auto"/>
              <w:start w:val="nil"/>
              <w:bottom w:val="nil"/>
              <w:end w:val="nil"/>
            </w:tcBorders>
            <w:shd w:val="clear" w:color="auto" w:fill="auto"/>
            <w:vAlign w:val="center"/>
            <w:hideMark/>
          </w:tcPr>
          <w:p w14:paraId="7B1985A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Obtención de RUC</w:t>
            </w:r>
          </w:p>
        </w:tc>
        <w:tc>
          <w:tcPr>
            <w:tcW w:w="67.90pt" w:type="dxa"/>
            <w:gridSpan w:val="2"/>
            <w:tcBorders>
              <w:top w:val="single" w:sz="4" w:space="0" w:color="auto"/>
              <w:start w:val="nil"/>
              <w:bottom w:val="nil"/>
              <w:end w:val="nil"/>
            </w:tcBorders>
            <w:shd w:val="clear" w:color="auto" w:fill="auto"/>
            <w:vAlign w:val="center"/>
            <w:hideMark/>
          </w:tcPr>
          <w:p w14:paraId="1D28399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Pago de impuestos</w:t>
            </w:r>
          </w:p>
        </w:tc>
        <w:tc>
          <w:tcPr>
            <w:tcW w:w="67.90pt" w:type="dxa"/>
            <w:gridSpan w:val="2"/>
            <w:tcBorders>
              <w:top w:val="single" w:sz="4" w:space="0" w:color="auto"/>
              <w:start w:val="nil"/>
              <w:bottom w:val="nil"/>
              <w:end w:val="nil"/>
            </w:tcBorders>
            <w:shd w:val="clear" w:color="auto" w:fill="auto"/>
            <w:vAlign w:val="center"/>
            <w:hideMark/>
          </w:tcPr>
          <w:p w14:paraId="2B3565F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Declaración de impuestos</w:t>
            </w:r>
          </w:p>
        </w:tc>
        <w:tc>
          <w:tcPr>
            <w:tcW w:w="84.45pt" w:type="dxa"/>
            <w:gridSpan w:val="2"/>
            <w:tcBorders>
              <w:top w:val="single" w:sz="4" w:space="0" w:color="auto"/>
              <w:start w:val="nil"/>
              <w:bottom w:val="nil"/>
              <w:end w:val="nil"/>
            </w:tcBorders>
            <w:shd w:val="clear" w:color="auto" w:fill="auto"/>
            <w:vAlign w:val="center"/>
            <w:hideMark/>
          </w:tcPr>
          <w:p w14:paraId="3A966D7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Licencia de funcionamiento</w:t>
            </w:r>
          </w:p>
        </w:tc>
        <w:tc>
          <w:tcPr>
            <w:tcW w:w="67.90pt" w:type="dxa"/>
            <w:gridSpan w:val="2"/>
            <w:tcBorders>
              <w:top w:val="single" w:sz="4" w:space="0" w:color="auto"/>
              <w:start w:val="nil"/>
              <w:bottom w:val="nil"/>
              <w:end w:val="nil"/>
            </w:tcBorders>
            <w:shd w:val="clear" w:color="auto" w:fill="auto"/>
            <w:vAlign w:val="center"/>
            <w:hideMark/>
          </w:tcPr>
          <w:p w14:paraId="37F2E7F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Tenencia de libros</w:t>
            </w:r>
          </w:p>
        </w:tc>
      </w:tr>
      <w:tr w:rsidR="00E845CC" w:rsidRPr="008A1537" w14:paraId="25DFA5C7" w14:textId="77777777" w:rsidTr="008A1537">
        <w:trPr>
          <w:trHeight w:val="341"/>
        </w:trPr>
        <w:tc>
          <w:tcPr>
            <w:tcW w:w="74.85pt" w:type="dxa"/>
            <w:vMerge/>
            <w:tcBorders>
              <w:top w:val="single" w:sz="4" w:space="0" w:color="auto"/>
              <w:start w:val="nil"/>
              <w:bottom w:val="single" w:sz="4" w:space="0" w:color="000000"/>
              <w:end w:val="nil"/>
            </w:tcBorders>
            <w:vAlign w:val="center"/>
            <w:hideMark/>
          </w:tcPr>
          <w:p w14:paraId="00A91FB0" w14:textId="77777777" w:rsidR="00E845CC" w:rsidRPr="008A1537" w:rsidRDefault="00E845CC" w:rsidP="008A1537">
            <w:pPr>
              <w:rPr>
                <w:rFonts w:ascii="Times New Roman" w:hAnsi="Times New Roman" w:cs="Times New Roman"/>
              </w:rPr>
            </w:pPr>
          </w:p>
        </w:tc>
        <w:tc>
          <w:tcPr>
            <w:tcW w:w="39.10pt" w:type="dxa"/>
            <w:tcBorders>
              <w:top w:val="single" w:sz="4" w:space="0" w:color="auto"/>
              <w:start w:val="nil"/>
              <w:bottom w:val="single" w:sz="4" w:space="0" w:color="auto"/>
              <w:end w:val="nil"/>
            </w:tcBorders>
            <w:shd w:val="clear" w:color="auto" w:fill="auto"/>
            <w:vAlign w:val="center"/>
            <w:hideMark/>
          </w:tcPr>
          <w:p w14:paraId="733144B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40.10pt" w:type="dxa"/>
            <w:tcBorders>
              <w:top w:val="single" w:sz="4" w:space="0" w:color="auto"/>
              <w:start w:val="nil"/>
              <w:bottom w:val="single" w:sz="4" w:space="0" w:color="auto"/>
              <w:end w:val="nil"/>
            </w:tcBorders>
            <w:shd w:val="clear" w:color="auto" w:fill="auto"/>
            <w:vAlign w:val="center"/>
            <w:hideMark/>
          </w:tcPr>
          <w:p w14:paraId="442690B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w:t>
            </w:r>
          </w:p>
        </w:tc>
        <w:tc>
          <w:tcPr>
            <w:tcW w:w="33.50pt" w:type="dxa"/>
            <w:tcBorders>
              <w:top w:val="single" w:sz="4" w:space="0" w:color="auto"/>
              <w:start w:val="nil"/>
              <w:bottom w:val="single" w:sz="4" w:space="0" w:color="auto"/>
              <w:end w:val="nil"/>
            </w:tcBorders>
            <w:shd w:val="clear" w:color="auto" w:fill="auto"/>
            <w:vAlign w:val="center"/>
            <w:hideMark/>
          </w:tcPr>
          <w:p w14:paraId="168A157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34.40pt" w:type="dxa"/>
            <w:tcBorders>
              <w:top w:val="single" w:sz="4" w:space="0" w:color="auto"/>
              <w:start w:val="nil"/>
              <w:bottom w:val="single" w:sz="4" w:space="0" w:color="auto"/>
              <w:end w:val="nil"/>
            </w:tcBorders>
            <w:shd w:val="clear" w:color="auto" w:fill="auto"/>
            <w:vAlign w:val="center"/>
            <w:hideMark/>
          </w:tcPr>
          <w:p w14:paraId="4A6577E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w:t>
            </w:r>
          </w:p>
        </w:tc>
        <w:tc>
          <w:tcPr>
            <w:tcW w:w="33.50pt" w:type="dxa"/>
            <w:tcBorders>
              <w:top w:val="single" w:sz="4" w:space="0" w:color="auto"/>
              <w:start w:val="nil"/>
              <w:bottom w:val="single" w:sz="4" w:space="0" w:color="auto"/>
              <w:end w:val="nil"/>
            </w:tcBorders>
            <w:shd w:val="clear" w:color="auto" w:fill="auto"/>
            <w:vAlign w:val="center"/>
            <w:hideMark/>
          </w:tcPr>
          <w:p w14:paraId="31B5A95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34.40pt" w:type="dxa"/>
            <w:tcBorders>
              <w:top w:val="single" w:sz="4" w:space="0" w:color="auto"/>
              <w:start w:val="nil"/>
              <w:bottom w:val="single" w:sz="4" w:space="0" w:color="auto"/>
              <w:end w:val="nil"/>
            </w:tcBorders>
            <w:shd w:val="clear" w:color="auto" w:fill="auto"/>
            <w:vAlign w:val="center"/>
            <w:hideMark/>
          </w:tcPr>
          <w:p w14:paraId="212D5E7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w:t>
            </w:r>
          </w:p>
        </w:tc>
        <w:tc>
          <w:tcPr>
            <w:tcW w:w="33.50pt" w:type="dxa"/>
            <w:tcBorders>
              <w:top w:val="single" w:sz="4" w:space="0" w:color="auto"/>
              <w:start w:val="nil"/>
              <w:bottom w:val="single" w:sz="4" w:space="0" w:color="auto"/>
              <w:end w:val="nil"/>
            </w:tcBorders>
            <w:shd w:val="clear" w:color="auto" w:fill="auto"/>
            <w:vAlign w:val="center"/>
            <w:hideMark/>
          </w:tcPr>
          <w:p w14:paraId="648D02F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34.40pt" w:type="dxa"/>
            <w:tcBorders>
              <w:top w:val="single" w:sz="4" w:space="0" w:color="auto"/>
              <w:start w:val="nil"/>
              <w:bottom w:val="single" w:sz="4" w:space="0" w:color="auto"/>
              <w:end w:val="nil"/>
            </w:tcBorders>
            <w:shd w:val="clear" w:color="auto" w:fill="auto"/>
            <w:vAlign w:val="center"/>
            <w:hideMark/>
          </w:tcPr>
          <w:p w14:paraId="10B7CFD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w:t>
            </w:r>
          </w:p>
        </w:tc>
        <w:tc>
          <w:tcPr>
            <w:tcW w:w="41.65pt" w:type="dxa"/>
            <w:tcBorders>
              <w:top w:val="single" w:sz="4" w:space="0" w:color="auto"/>
              <w:start w:val="nil"/>
              <w:bottom w:val="single" w:sz="4" w:space="0" w:color="auto"/>
              <w:end w:val="nil"/>
            </w:tcBorders>
            <w:shd w:val="clear" w:color="auto" w:fill="auto"/>
            <w:vAlign w:val="center"/>
            <w:hideMark/>
          </w:tcPr>
          <w:p w14:paraId="76AD4C9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42.80pt" w:type="dxa"/>
            <w:tcBorders>
              <w:top w:val="single" w:sz="4" w:space="0" w:color="auto"/>
              <w:start w:val="nil"/>
              <w:bottom w:val="single" w:sz="4" w:space="0" w:color="auto"/>
              <w:end w:val="nil"/>
            </w:tcBorders>
            <w:shd w:val="clear" w:color="auto" w:fill="auto"/>
            <w:vAlign w:val="center"/>
            <w:hideMark/>
          </w:tcPr>
          <w:p w14:paraId="715FFC6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w:t>
            </w:r>
          </w:p>
        </w:tc>
        <w:tc>
          <w:tcPr>
            <w:tcW w:w="33.50pt" w:type="dxa"/>
            <w:tcBorders>
              <w:top w:val="single" w:sz="4" w:space="0" w:color="auto"/>
              <w:start w:val="nil"/>
              <w:bottom w:val="single" w:sz="4" w:space="0" w:color="auto"/>
              <w:end w:val="nil"/>
            </w:tcBorders>
            <w:shd w:val="clear" w:color="auto" w:fill="auto"/>
            <w:vAlign w:val="center"/>
            <w:hideMark/>
          </w:tcPr>
          <w:p w14:paraId="0A6289B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34.40pt" w:type="dxa"/>
            <w:tcBorders>
              <w:top w:val="single" w:sz="4" w:space="0" w:color="auto"/>
              <w:start w:val="nil"/>
              <w:bottom w:val="single" w:sz="4" w:space="0" w:color="auto"/>
              <w:end w:val="nil"/>
            </w:tcBorders>
            <w:shd w:val="clear" w:color="auto" w:fill="auto"/>
            <w:vAlign w:val="center"/>
            <w:hideMark/>
          </w:tcPr>
          <w:p w14:paraId="014A991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w:t>
            </w:r>
          </w:p>
        </w:tc>
      </w:tr>
      <w:tr w:rsidR="00E845CC" w:rsidRPr="008A1537" w14:paraId="4C5BCBCD" w14:textId="77777777" w:rsidTr="008A1537">
        <w:trPr>
          <w:trHeight w:val="341"/>
        </w:trPr>
        <w:tc>
          <w:tcPr>
            <w:tcW w:w="74.85pt" w:type="dxa"/>
            <w:tcBorders>
              <w:top w:val="nil"/>
              <w:start w:val="nil"/>
              <w:bottom w:val="nil"/>
              <w:end w:val="nil"/>
            </w:tcBorders>
            <w:shd w:val="clear" w:color="auto" w:fill="auto"/>
            <w:vAlign w:val="center"/>
            <w:hideMark/>
          </w:tcPr>
          <w:p w14:paraId="0FE7936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Normal</w:t>
            </w:r>
          </w:p>
        </w:tc>
        <w:tc>
          <w:tcPr>
            <w:tcW w:w="39.10pt" w:type="dxa"/>
            <w:tcBorders>
              <w:top w:val="nil"/>
              <w:start w:val="nil"/>
              <w:bottom w:val="nil"/>
              <w:end w:val="nil"/>
            </w:tcBorders>
            <w:shd w:val="clear" w:color="auto" w:fill="auto"/>
            <w:noWrap/>
            <w:vAlign w:val="center"/>
            <w:hideMark/>
          </w:tcPr>
          <w:p w14:paraId="420E4F5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62</w:t>
            </w:r>
          </w:p>
        </w:tc>
        <w:tc>
          <w:tcPr>
            <w:tcW w:w="40.10pt" w:type="dxa"/>
            <w:tcBorders>
              <w:top w:val="nil"/>
              <w:start w:val="nil"/>
              <w:bottom w:val="nil"/>
              <w:end w:val="nil"/>
            </w:tcBorders>
            <w:shd w:val="clear" w:color="auto" w:fill="auto"/>
            <w:noWrap/>
            <w:vAlign w:val="center"/>
            <w:hideMark/>
          </w:tcPr>
          <w:p w14:paraId="3A067CE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17.7</w:t>
            </w:r>
          </w:p>
        </w:tc>
        <w:tc>
          <w:tcPr>
            <w:tcW w:w="33.50pt" w:type="dxa"/>
            <w:tcBorders>
              <w:top w:val="nil"/>
              <w:start w:val="nil"/>
              <w:bottom w:val="nil"/>
              <w:end w:val="nil"/>
            </w:tcBorders>
            <w:shd w:val="clear" w:color="auto" w:fill="auto"/>
            <w:noWrap/>
            <w:vAlign w:val="center"/>
            <w:hideMark/>
          </w:tcPr>
          <w:p w14:paraId="25F3A12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53</w:t>
            </w:r>
          </w:p>
        </w:tc>
        <w:tc>
          <w:tcPr>
            <w:tcW w:w="34.40pt" w:type="dxa"/>
            <w:tcBorders>
              <w:top w:val="nil"/>
              <w:start w:val="nil"/>
              <w:bottom w:val="nil"/>
              <w:end w:val="nil"/>
            </w:tcBorders>
            <w:shd w:val="clear" w:color="auto" w:fill="auto"/>
            <w:noWrap/>
            <w:vAlign w:val="center"/>
            <w:hideMark/>
          </w:tcPr>
          <w:p w14:paraId="0E7A6E8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15.1</w:t>
            </w:r>
          </w:p>
        </w:tc>
        <w:tc>
          <w:tcPr>
            <w:tcW w:w="33.50pt" w:type="dxa"/>
            <w:tcBorders>
              <w:top w:val="nil"/>
              <w:start w:val="nil"/>
              <w:bottom w:val="nil"/>
              <w:end w:val="nil"/>
            </w:tcBorders>
            <w:shd w:val="clear" w:color="auto" w:fill="auto"/>
            <w:noWrap/>
            <w:vAlign w:val="center"/>
            <w:hideMark/>
          </w:tcPr>
          <w:p w14:paraId="09EFC3B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45</w:t>
            </w:r>
          </w:p>
        </w:tc>
        <w:tc>
          <w:tcPr>
            <w:tcW w:w="34.40pt" w:type="dxa"/>
            <w:tcBorders>
              <w:top w:val="nil"/>
              <w:start w:val="nil"/>
              <w:bottom w:val="nil"/>
              <w:end w:val="nil"/>
            </w:tcBorders>
            <w:shd w:val="clear" w:color="auto" w:fill="auto"/>
            <w:noWrap/>
            <w:vAlign w:val="center"/>
            <w:hideMark/>
          </w:tcPr>
          <w:p w14:paraId="4E34B2B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12.9</w:t>
            </w:r>
          </w:p>
        </w:tc>
        <w:tc>
          <w:tcPr>
            <w:tcW w:w="33.50pt" w:type="dxa"/>
            <w:tcBorders>
              <w:top w:val="nil"/>
              <w:start w:val="nil"/>
              <w:bottom w:val="nil"/>
              <w:end w:val="nil"/>
            </w:tcBorders>
            <w:shd w:val="clear" w:color="auto" w:fill="auto"/>
            <w:noWrap/>
            <w:vAlign w:val="center"/>
            <w:hideMark/>
          </w:tcPr>
          <w:p w14:paraId="56B9629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42</w:t>
            </w:r>
          </w:p>
        </w:tc>
        <w:tc>
          <w:tcPr>
            <w:tcW w:w="34.40pt" w:type="dxa"/>
            <w:tcBorders>
              <w:top w:val="nil"/>
              <w:start w:val="nil"/>
              <w:bottom w:val="nil"/>
              <w:end w:val="nil"/>
            </w:tcBorders>
            <w:shd w:val="clear" w:color="auto" w:fill="auto"/>
            <w:noWrap/>
            <w:vAlign w:val="center"/>
            <w:hideMark/>
          </w:tcPr>
          <w:p w14:paraId="2107E63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12.0</w:t>
            </w:r>
          </w:p>
        </w:tc>
        <w:tc>
          <w:tcPr>
            <w:tcW w:w="41.65pt" w:type="dxa"/>
            <w:tcBorders>
              <w:top w:val="nil"/>
              <w:start w:val="nil"/>
              <w:bottom w:val="nil"/>
              <w:end w:val="nil"/>
            </w:tcBorders>
            <w:shd w:val="clear" w:color="auto" w:fill="auto"/>
            <w:noWrap/>
            <w:vAlign w:val="center"/>
            <w:hideMark/>
          </w:tcPr>
          <w:p w14:paraId="4718928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38</w:t>
            </w:r>
          </w:p>
        </w:tc>
        <w:tc>
          <w:tcPr>
            <w:tcW w:w="42.80pt" w:type="dxa"/>
            <w:tcBorders>
              <w:top w:val="nil"/>
              <w:start w:val="nil"/>
              <w:bottom w:val="nil"/>
              <w:end w:val="nil"/>
            </w:tcBorders>
            <w:shd w:val="clear" w:color="auto" w:fill="auto"/>
            <w:noWrap/>
            <w:vAlign w:val="center"/>
            <w:hideMark/>
          </w:tcPr>
          <w:p w14:paraId="14B9C26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10.9</w:t>
            </w:r>
          </w:p>
        </w:tc>
        <w:tc>
          <w:tcPr>
            <w:tcW w:w="33.50pt" w:type="dxa"/>
            <w:tcBorders>
              <w:top w:val="nil"/>
              <w:start w:val="nil"/>
              <w:bottom w:val="nil"/>
              <w:end w:val="nil"/>
            </w:tcBorders>
            <w:shd w:val="clear" w:color="auto" w:fill="auto"/>
            <w:noWrap/>
            <w:vAlign w:val="center"/>
            <w:hideMark/>
          </w:tcPr>
          <w:p w14:paraId="3564755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47</w:t>
            </w:r>
          </w:p>
        </w:tc>
        <w:tc>
          <w:tcPr>
            <w:tcW w:w="34.40pt" w:type="dxa"/>
            <w:tcBorders>
              <w:top w:val="nil"/>
              <w:start w:val="nil"/>
              <w:bottom w:val="nil"/>
              <w:end w:val="nil"/>
            </w:tcBorders>
            <w:shd w:val="clear" w:color="auto" w:fill="auto"/>
            <w:noWrap/>
            <w:vAlign w:val="center"/>
            <w:hideMark/>
          </w:tcPr>
          <w:p w14:paraId="69F7393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13.4</w:t>
            </w:r>
          </w:p>
        </w:tc>
      </w:tr>
      <w:tr w:rsidR="00E845CC" w:rsidRPr="008A1537" w14:paraId="3EFB7290" w14:textId="77777777" w:rsidTr="008A1537">
        <w:trPr>
          <w:trHeight w:val="341"/>
        </w:trPr>
        <w:tc>
          <w:tcPr>
            <w:tcW w:w="74.85pt" w:type="dxa"/>
            <w:tcBorders>
              <w:top w:val="nil"/>
              <w:start w:val="nil"/>
              <w:bottom w:val="nil"/>
              <w:end w:val="nil"/>
            </w:tcBorders>
            <w:shd w:val="clear" w:color="auto" w:fill="auto"/>
            <w:vAlign w:val="center"/>
            <w:hideMark/>
          </w:tcPr>
          <w:p w14:paraId="78A64DD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Leve</w:t>
            </w:r>
          </w:p>
        </w:tc>
        <w:tc>
          <w:tcPr>
            <w:tcW w:w="39.10pt" w:type="dxa"/>
            <w:tcBorders>
              <w:top w:val="nil"/>
              <w:start w:val="nil"/>
              <w:bottom w:val="nil"/>
              <w:end w:val="nil"/>
            </w:tcBorders>
            <w:shd w:val="clear" w:color="auto" w:fill="auto"/>
            <w:noWrap/>
            <w:vAlign w:val="center"/>
            <w:hideMark/>
          </w:tcPr>
          <w:p w14:paraId="1F0601B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85</w:t>
            </w:r>
          </w:p>
        </w:tc>
        <w:tc>
          <w:tcPr>
            <w:tcW w:w="40.10pt" w:type="dxa"/>
            <w:tcBorders>
              <w:top w:val="nil"/>
              <w:start w:val="nil"/>
              <w:bottom w:val="nil"/>
              <w:end w:val="nil"/>
            </w:tcBorders>
            <w:shd w:val="clear" w:color="auto" w:fill="auto"/>
            <w:noWrap/>
            <w:vAlign w:val="center"/>
            <w:hideMark/>
          </w:tcPr>
          <w:p w14:paraId="447B6DB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24.3</w:t>
            </w:r>
          </w:p>
        </w:tc>
        <w:tc>
          <w:tcPr>
            <w:tcW w:w="33.50pt" w:type="dxa"/>
            <w:tcBorders>
              <w:top w:val="nil"/>
              <w:start w:val="nil"/>
              <w:bottom w:val="nil"/>
              <w:end w:val="nil"/>
            </w:tcBorders>
            <w:shd w:val="clear" w:color="auto" w:fill="auto"/>
            <w:noWrap/>
            <w:vAlign w:val="center"/>
            <w:hideMark/>
          </w:tcPr>
          <w:p w14:paraId="4E2CE8D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75</w:t>
            </w:r>
          </w:p>
        </w:tc>
        <w:tc>
          <w:tcPr>
            <w:tcW w:w="34.40pt" w:type="dxa"/>
            <w:tcBorders>
              <w:top w:val="nil"/>
              <w:start w:val="nil"/>
              <w:bottom w:val="nil"/>
              <w:end w:val="nil"/>
            </w:tcBorders>
            <w:shd w:val="clear" w:color="auto" w:fill="auto"/>
            <w:noWrap/>
            <w:vAlign w:val="center"/>
            <w:hideMark/>
          </w:tcPr>
          <w:p w14:paraId="2BED2E0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21.4</w:t>
            </w:r>
          </w:p>
        </w:tc>
        <w:tc>
          <w:tcPr>
            <w:tcW w:w="33.50pt" w:type="dxa"/>
            <w:tcBorders>
              <w:top w:val="nil"/>
              <w:start w:val="nil"/>
              <w:bottom w:val="nil"/>
              <w:end w:val="nil"/>
            </w:tcBorders>
            <w:shd w:val="clear" w:color="auto" w:fill="auto"/>
            <w:noWrap/>
            <w:vAlign w:val="center"/>
            <w:hideMark/>
          </w:tcPr>
          <w:p w14:paraId="450BF65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68</w:t>
            </w:r>
          </w:p>
        </w:tc>
        <w:tc>
          <w:tcPr>
            <w:tcW w:w="34.40pt" w:type="dxa"/>
            <w:tcBorders>
              <w:top w:val="nil"/>
              <w:start w:val="nil"/>
              <w:bottom w:val="nil"/>
              <w:end w:val="nil"/>
            </w:tcBorders>
            <w:shd w:val="clear" w:color="auto" w:fill="auto"/>
            <w:noWrap/>
            <w:vAlign w:val="center"/>
            <w:hideMark/>
          </w:tcPr>
          <w:p w14:paraId="76F771F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19.4</w:t>
            </w:r>
          </w:p>
        </w:tc>
        <w:tc>
          <w:tcPr>
            <w:tcW w:w="33.50pt" w:type="dxa"/>
            <w:tcBorders>
              <w:top w:val="nil"/>
              <w:start w:val="nil"/>
              <w:bottom w:val="nil"/>
              <w:end w:val="nil"/>
            </w:tcBorders>
            <w:shd w:val="clear" w:color="auto" w:fill="auto"/>
            <w:noWrap/>
            <w:vAlign w:val="center"/>
            <w:hideMark/>
          </w:tcPr>
          <w:p w14:paraId="0DDB768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58</w:t>
            </w:r>
          </w:p>
        </w:tc>
        <w:tc>
          <w:tcPr>
            <w:tcW w:w="34.40pt" w:type="dxa"/>
            <w:tcBorders>
              <w:top w:val="nil"/>
              <w:start w:val="nil"/>
              <w:bottom w:val="nil"/>
              <w:end w:val="nil"/>
            </w:tcBorders>
            <w:shd w:val="clear" w:color="auto" w:fill="auto"/>
            <w:noWrap/>
            <w:vAlign w:val="center"/>
            <w:hideMark/>
          </w:tcPr>
          <w:p w14:paraId="375E1D3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16.6</w:t>
            </w:r>
          </w:p>
        </w:tc>
        <w:tc>
          <w:tcPr>
            <w:tcW w:w="41.65pt" w:type="dxa"/>
            <w:tcBorders>
              <w:top w:val="nil"/>
              <w:start w:val="nil"/>
              <w:bottom w:val="nil"/>
              <w:end w:val="nil"/>
            </w:tcBorders>
            <w:shd w:val="clear" w:color="auto" w:fill="auto"/>
            <w:noWrap/>
            <w:vAlign w:val="center"/>
            <w:hideMark/>
          </w:tcPr>
          <w:p w14:paraId="30928A9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50</w:t>
            </w:r>
          </w:p>
        </w:tc>
        <w:tc>
          <w:tcPr>
            <w:tcW w:w="42.80pt" w:type="dxa"/>
            <w:tcBorders>
              <w:top w:val="nil"/>
              <w:start w:val="nil"/>
              <w:bottom w:val="nil"/>
              <w:end w:val="nil"/>
            </w:tcBorders>
            <w:shd w:val="clear" w:color="auto" w:fill="auto"/>
            <w:noWrap/>
            <w:vAlign w:val="center"/>
            <w:hideMark/>
          </w:tcPr>
          <w:p w14:paraId="00DC6A2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14.3</w:t>
            </w:r>
          </w:p>
        </w:tc>
        <w:tc>
          <w:tcPr>
            <w:tcW w:w="33.50pt" w:type="dxa"/>
            <w:tcBorders>
              <w:top w:val="nil"/>
              <w:start w:val="nil"/>
              <w:bottom w:val="nil"/>
              <w:end w:val="nil"/>
            </w:tcBorders>
            <w:shd w:val="clear" w:color="auto" w:fill="auto"/>
            <w:noWrap/>
            <w:vAlign w:val="center"/>
            <w:hideMark/>
          </w:tcPr>
          <w:p w14:paraId="22E107B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60</w:t>
            </w:r>
          </w:p>
        </w:tc>
        <w:tc>
          <w:tcPr>
            <w:tcW w:w="34.40pt" w:type="dxa"/>
            <w:tcBorders>
              <w:top w:val="nil"/>
              <w:start w:val="nil"/>
              <w:bottom w:val="nil"/>
              <w:end w:val="nil"/>
            </w:tcBorders>
            <w:shd w:val="clear" w:color="auto" w:fill="auto"/>
            <w:noWrap/>
            <w:vAlign w:val="center"/>
            <w:hideMark/>
          </w:tcPr>
          <w:p w14:paraId="2DF22ED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17.1</w:t>
            </w:r>
          </w:p>
        </w:tc>
      </w:tr>
      <w:tr w:rsidR="00E845CC" w:rsidRPr="008A1537" w14:paraId="7805D4B6" w14:textId="77777777" w:rsidTr="008A1537">
        <w:trPr>
          <w:trHeight w:val="341"/>
        </w:trPr>
        <w:tc>
          <w:tcPr>
            <w:tcW w:w="74.85pt" w:type="dxa"/>
            <w:tcBorders>
              <w:top w:val="nil"/>
              <w:start w:val="nil"/>
              <w:bottom w:val="nil"/>
              <w:end w:val="nil"/>
            </w:tcBorders>
            <w:shd w:val="clear" w:color="auto" w:fill="auto"/>
            <w:vAlign w:val="center"/>
            <w:hideMark/>
          </w:tcPr>
          <w:p w14:paraId="4F66E3F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De consideración</w:t>
            </w:r>
          </w:p>
        </w:tc>
        <w:tc>
          <w:tcPr>
            <w:tcW w:w="39.10pt" w:type="dxa"/>
            <w:tcBorders>
              <w:top w:val="nil"/>
              <w:start w:val="nil"/>
              <w:bottom w:val="nil"/>
              <w:end w:val="nil"/>
            </w:tcBorders>
            <w:shd w:val="clear" w:color="auto" w:fill="auto"/>
            <w:noWrap/>
            <w:vAlign w:val="center"/>
            <w:hideMark/>
          </w:tcPr>
          <w:p w14:paraId="3943DD8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117</w:t>
            </w:r>
          </w:p>
        </w:tc>
        <w:tc>
          <w:tcPr>
            <w:tcW w:w="40.10pt" w:type="dxa"/>
            <w:tcBorders>
              <w:top w:val="nil"/>
              <w:start w:val="nil"/>
              <w:bottom w:val="nil"/>
              <w:end w:val="nil"/>
            </w:tcBorders>
            <w:shd w:val="clear" w:color="auto" w:fill="auto"/>
            <w:noWrap/>
            <w:vAlign w:val="center"/>
            <w:hideMark/>
          </w:tcPr>
          <w:p w14:paraId="7B95A43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33.4</w:t>
            </w:r>
          </w:p>
        </w:tc>
        <w:tc>
          <w:tcPr>
            <w:tcW w:w="33.50pt" w:type="dxa"/>
            <w:tcBorders>
              <w:top w:val="nil"/>
              <w:start w:val="nil"/>
              <w:bottom w:val="nil"/>
              <w:end w:val="nil"/>
            </w:tcBorders>
            <w:shd w:val="clear" w:color="auto" w:fill="auto"/>
            <w:noWrap/>
            <w:vAlign w:val="center"/>
            <w:hideMark/>
          </w:tcPr>
          <w:p w14:paraId="36C9793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120</w:t>
            </w:r>
          </w:p>
        </w:tc>
        <w:tc>
          <w:tcPr>
            <w:tcW w:w="34.40pt" w:type="dxa"/>
            <w:tcBorders>
              <w:top w:val="nil"/>
              <w:start w:val="nil"/>
              <w:bottom w:val="nil"/>
              <w:end w:val="nil"/>
            </w:tcBorders>
            <w:shd w:val="clear" w:color="auto" w:fill="auto"/>
            <w:noWrap/>
            <w:vAlign w:val="center"/>
            <w:hideMark/>
          </w:tcPr>
          <w:p w14:paraId="6A3D204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34.3</w:t>
            </w:r>
          </w:p>
        </w:tc>
        <w:tc>
          <w:tcPr>
            <w:tcW w:w="33.50pt" w:type="dxa"/>
            <w:tcBorders>
              <w:top w:val="nil"/>
              <w:start w:val="nil"/>
              <w:bottom w:val="nil"/>
              <w:end w:val="nil"/>
            </w:tcBorders>
            <w:shd w:val="clear" w:color="auto" w:fill="auto"/>
            <w:noWrap/>
            <w:vAlign w:val="center"/>
            <w:hideMark/>
          </w:tcPr>
          <w:p w14:paraId="460B4A8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131</w:t>
            </w:r>
          </w:p>
        </w:tc>
        <w:tc>
          <w:tcPr>
            <w:tcW w:w="34.40pt" w:type="dxa"/>
            <w:tcBorders>
              <w:top w:val="nil"/>
              <w:start w:val="nil"/>
              <w:bottom w:val="nil"/>
              <w:end w:val="nil"/>
            </w:tcBorders>
            <w:shd w:val="clear" w:color="auto" w:fill="auto"/>
            <w:noWrap/>
            <w:vAlign w:val="center"/>
            <w:hideMark/>
          </w:tcPr>
          <w:p w14:paraId="3A382DD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37.4</w:t>
            </w:r>
          </w:p>
        </w:tc>
        <w:tc>
          <w:tcPr>
            <w:tcW w:w="33.50pt" w:type="dxa"/>
            <w:tcBorders>
              <w:top w:val="nil"/>
              <w:start w:val="nil"/>
              <w:bottom w:val="nil"/>
              <w:end w:val="nil"/>
            </w:tcBorders>
            <w:shd w:val="clear" w:color="auto" w:fill="auto"/>
            <w:noWrap/>
            <w:vAlign w:val="center"/>
            <w:hideMark/>
          </w:tcPr>
          <w:p w14:paraId="1843351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131</w:t>
            </w:r>
          </w:p>
        </w:tc>
        <w:tc>
          <w:tcPr>
            <w:tcW w:w="34.40pt" w:type="dxa"/>
            <w:tcBorders>
              <w:top w:val="nil"/>
              <w:start w:val="nil"/>
              <w:bottom w:val="nil"/>
              <w:end w:val="nil"/>
            </w:tcBorders>
            <w:shd w:val="clear" w:color="auto" w:fill="auto"/>
            <w:noWrap/>
            <w:vAlign w:val="center"/>
            <w:hideMark/>
          </w:tcPr>
          <w:p w14:paraId="6557D49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37.4</w:t>
            </w:r>
          </w:p>
        </w:tc>
        <w:tc>
          <w:tcPr>
            <w:tcW w:w="41.65pt" w:type="dxa"/>
            <w:tcBorders>
              <w:top w:val="nil"/>
              <w:start w:val="nil"/>
              <w:bottom w:val="nil"/>
              <w:end w:val="nil"/>
            </w:tcBorders>
            <w:shd w:val="clear" w:color="auto" w:fill="auto"/>
            <w:noWrap/>
            <w:vAlign w:val="center"/>
            <w:hideMark/>
          </w:tcPr>
          <w:p w14:paraId="7582C77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118</w:t>
            </w:r>
          </w:p>
        </w:tc>
        <w:tc>
          <w:tcPr>
            <w:tcW w:w="42.80pt" w:type="dxa"/>
            <w:tcBorders>
              <w:top w:val="nil"/>
              <w:start w:val="nil"/>
              <w:bottom w:val="nil"/>
              <w:end w:val="nil"/>
            </w:tcBorders>
            <w:shd w:val="clear" w:color="auto" w:fill="auto"/>
            <w:noWrap/>
            <w:vAlign w:val="center"/>
            <w:hideMark/>
          </w:tcPr>
          <w:p w14:paraId="352C208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33.7</w:t>
            </w:r>
          </w:p>
        </w:tc>
        <w:tc>
          <w:tcPr>
            <w:tcW w:w="33.50pt" w:type="dxa"/>
            <w:tcBorders>
              <w:top w:val="nil"/>
              <w:start w:val="nil"/>
              <w:bottom w:val="nil"/>
              <w:end w:val="nil"/>
            </w:tcBorders>
            <w:shd w:val="clear" w:color="auto" w:fill="auto"/>
            <w:noWrap/>
            <w:vAlign w:val="center"/>
            <w:hideMark/>
          </w:tcPr>
          <w:p w14:paraId="78E91A0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91</w:t>
            </w:r>
          </w:p>
        </w:tc>
        <w:tc>
          <w:tcPr>
            <w:tcW w:w="34.40pt" w:type="dxa"/>
            <w:tcBorders>
              <w:top w:val="nil"/>
              <w:start w:val="nil"/>
              <w:bottom w:val="nil"/>
              <w:end w:val="nil"/>
            </w:tcBorders>
            <w:shd w:val="clear" w:color="auto" w:fill="auto"/>
            <w:noWrap/>
            <w:vAlign w:val="center"/>
            <w:hideMark/>
          </w:tcPr>
          <w:p w14:paraId="2198A53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26.0</w:t>
            </w:r>
          </w:p>
        </w:tc>
      </w:tr>
      <w:tr w:rsidR="00E845CC" w:rsidRPr="008A1537" w14:paraId="7D231160" w14:textId="77777777" w:rsidTr="008A1537">
        <w:trPr>
          <w:trHeight w:val="341"/>
        </w:trPr>
        <w:tc>
          <w:tcPr>
            <w:tcW w:w="74.85pt" w:type="dxa"/>
            <w:tcBorders>
              <w:top w:val="nil"/>
              <w:start w:val="nil"/>
              <w:bottom w:val="nil"/>
              <w:end w:val="nil"/>
            </w:tcBorders>
            <w:shd w:val="clear" w:color="auto" w:fill="auto"/>
            <w:vAlign w:val="center"/>
            <w:hideMark/>
          </w:tcPr>
          <w:p w14:paraId="12BE45C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Grave</w:t>
            </w:r>
          </w:p>
        </w:tc>
        <w:tc>
          <w:tcPr>
            <w:tcW w:w="39.10pt" w:type="dxa"/>
            <w:tcBorders>
              <w:top w:val="nil"/>
              <w:start w:val="nil"/>
              <w:bottom w:val="nil"/>
              <w:end w:val="nil"/>
            </w:tcBorders>
            <w:shd w:val="clear" w:color="auto" w:fill="auto"/>
            <w:noWrap/>
            <w:vAlign w:val="center"/>
            <w:hideMark/>
          </w:tcPr>
          <w:p w14:paraId="2886A58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86</w:t>
            </w:r>
          </w:p>
        </w:tc>
        <w:tc>
          <w:tcPr>
            <w:tcW w:w="40.10pt" w:type="dxa"/>
            <w:tcBorders>
              <w:top w:val="nil"/>
              <w:start w:val="nil"/>
              <w:bottom w:val="nil"/>
              <w:end w:val="nil"/>
            </w:tcBorders>
            <w:shd w:val="clear" w:color="auto" w:fill="auto"/>
            <w:noWrap/>
            <w:vAlign w:val="center"/>
            <w:hideMark/>
          </w:tcPr>
          <w:p w14:paraId="5087F5A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24.6</w:t>
            </w:r>
          </w:p>
        </w:tc>
        <w:tc>
          <w:tcPr>
            <w:tcW w:w="33.50pt" w:type="dxa"/>
            <w:tcBorders>
              <w:top w:val="nil"/>
              <w:start w:val="nil"/>
              <w:bottom w:val="nil"/>
              <w:end w:val="nil"/>
            </w:tcBorders>
            <w:shd w:val="clear" w:color="auto" w:fill="auto"/>
            <w:noWrap/>
            <w:vAlign w:val="center"/>
            <w:hideMark/>
          </w:tcPr>
          <w:p w14:paraId="0AE8769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102</w:t>
            </w:r>
          </w:p>
        </w:tc>
        <w:tc>
          <w:tcPr>
            <w:tcW w:w="34.40pt" w:type="dxa"/>
            <w:tcBorders>
              <w:top w:val="nil"/>
              <w:start w:val="nil"/>
              <w:bottom w:val="nil"/>
              <w:end w:val="nil"/>
            </w:tcBorders>
            <w:shd w:val="clear" w:color="auto" w:fill="auto"/>
            <w:noWrap/>
            <w:vAlign w:val="center"/>
            <w:hideMark/>
          </w:tcPr>
          <w:p w14:paraId="131B488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29.1</w:t>
            </w:r>
          </w:p>
        </w:tc>
        <w:tc>
          <w:tcPr>
            <w:tcW w:w="33.50pt" w:type="dxa"/>
            <w:tcBorders>
              <w:top w:val="nil"/>
              <w:start w:val="nil"/>
              <w:bottom w:val="nil"/>
              <w:end w:val="nil"/>
            </w:tcBorders>
            <w:shd w:val="clear" w:color="auto" w:fill="auto"/>
            <w:noWrap/>
            <w:vAlign w:val="center"/>
            <w:hideMark/>
          </w:tcPr>
          <w:p w14:paraId="18BAB85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106</w:t>
            </w:r>
          </w:p>
        </w:tc>
        <w:tc>
          <w:tcPr>
            <w:tcW w:w="34.40pt" w:type="dxa"/>
            <w:tcBorders>
              <w:top w:val="nil"/>
              <w:start w:val="nil"/>
              <w:bottom w:val="nil"/>
              <w:end w:val="nil"/>
            </w:tcBorders>
            <w:shd w:val="clear" w:color="auto" w:fill="auto"/>
            <w:noWrap/>
            <w:vAlign w:val="center"/>
            <w:hideMark/>
          </w:tcPr>
          <w:p w14:paraId="4E3FA6A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30.3</w:t>
            </w:r>
          </w:p>
        </w:tc>
        <w:tc>
          <w:tcPr>
            <w:tcW w:w="33.50pt" w:type="dxa"/>
            <w:tcBorders>
              <w:top w:val="nil"/>
              <w:start w:val="nil"/>
              <w:bottom w:val="nil"/>
              <w:end w:val="nil"/>
            </w:tcBorders>
            <w:shd w:val="clear" w:color="auto" w:fill="auto"/>
            <w:noWrap/>
            <w:vAlign w:val="center"/>
            <w:hideMark/>
          </w:tcPr>
          <w:p w14:paraId="7AE8E02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119</w:t>
            </w:r>
          </w:p>
        </w:tc>
        <w:tc>
          <w:tcPr>
            <w:tcW w:w="34.40pt" w:type="dxa"/>
            <w:tcBorders>
              <w:top w:val="nil"/>
              <w:start w:val="nil"/>
              <w:bottom w:val="nil"/>
              <w:end w:val="nil"/>
            </w:tcBorders>
            <w:shd w:val="clear" w:color="auto" w:fill="auto"/>
            <w:noWrap/>
            <w:vAlign w:val="center"/>
            <w:hideMark/>
          </w:tcPr>
          <w:p w14:paraId="52EB4A2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34.0</w:t>
            </w:r>
          </w:p>
        </w:tc>
        <w:tc>
          <w:tcPr>
            <w:tcW w:w="41.65pt" w:type="dxa"/>
            <w:tcBorders>
              <w:top w:val="nil"/>
              <w:start w:val="nil"/>
              <w:bottom w:val="nil"/>
              <w:end w:val="nil"/>
            </w:tcBorders>
            <w:shd w:val="clear" w:color="auto" w:fill="auto"/>
            <w:noWrap/>
            <w:vAlign w:val="center"/>
            <w:hideMark/>
          </w:tcPr>
          <w:p w14:paraId="2789615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144</w:t>
            </w:r>
          </w:p>
        </w:tc>
        <w:tc>
          <w:tcPr>
            <w:tcW w:w="42.80pt" w:type="dxa"/>
            <w:tcBorders>
              <w:top w:val="nil"/>
              <w:start w:val="nil"/>
              <w:bottom w:val="nil"/>
              <w:end w:val="nil"/>
            </w:tcBorders>
            <w:shd w:val="clear" w:color="auto" w:fill="auto"/>
            <w:noWrap/>
            <w:vAlign w:val="center"/>
            <w:hideMark/>
          </w:tcPr>
          <w:p w14:paraId="5C67000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41.1</w:t>
            </w:r>
          </w:p>
        </w:tc>
        <w:tc>
          <w:tcPr>
            <w:tcW w:w="33.50pt" w:type="dxa"/>
            <w:tcBorders>
              <w:top w:val="nil"/>
              <w:start w:val="nil"/>
              <w:bottom w:val="nil"/>
              <w:end w:val="nil"/>
            </w:tcBorders>
            <w:shd w:val="clear" w:color="auto" w:fill="auto"/>
            <w:noWrap/>
            <w:vAlign w:val="center"/>
            <w:hideMark/>
          </w:tcPr>
          <w:p w14:paraId="767998D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152</w:t>
            </w:r>
          </w:p>
        </w:tc>
        <w:tc>
          <w:tcPr>
            <w:tcW w:w="34.40pt" w:type="dxa"/>
            <w:tcBorders>
              <w:top w:val="nil"/>
              <w:start w:val="nil"/>
              <w:bottom w:val="nil"/>
              <w:end w:val="nil"/>
            </w:tcBorders>
            <w:shd w:val="clear" w:color="auto" w:fill="auto"/>
            <w:noWrap/>
            <w:vAlign w:val="center"/>
            <w:hideMark/>
          </w:tcPr>
          <w:p w14:paraId="31EA1B3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43.4</w:t>
            </w:r>
          </w:p>
        </w:tc>
      </w:tr>
      <w:tr w:rsidR="00E845CC" w:rsidRPr="008A1537" w14:paraId="46C9E22B" w14:textId="77777777" w:rsidTr="008A1537">
        <w:trPr>
          <w:trHeight w:val="341"/>
        </w:trPr>
        <w:tc>
          <w:tcPr>
            <w:tcW w:w="74.85pt" w:type="dxa"/>
            <w:tcBorders>
              <w:top w:val="single" w:sz="4" w:space="0" w:color="auto"/>
              <w:start w:val="nil"/>
              <w:bottom w:val="single" w:sz="4" w:space="0" w:color="auto"/>
              <w:end w:val="nil"/>
            </w:tcBorders>
            <w:shd w:val="clear" w:color="auto" w:fill="auto"/>
            <w:vAlign w:val="center"/>
            <w:hideMark/>
          </w:tcPr>
          <w:p w14:paraId="455E8E8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Total</w:t>
            </w:r>
          </w:p>
        </w:tc>
        <w:tc>
          <w:tcPr>
            <w:tcW w:w="39.10pt" w:type="dxa"/>
            <w:tcBorders>
              <w:top w:val="single" w:sz="4" w:space="0" w:color="auto"/>
              <w:start w:val="nil"/>
              <w:bottom w:val="single" w:sz="4" w:space="0" w:color="auto"/>
              <w:end w:val="nil"/>
            </w:tcBorders>
            <w:shd w:val="clear" w:color="auto" w:fill="auto"/>
            <w:noWrap/>
            <w:vAlign w:val="center"/>
            <w:hideMark/>
          </w:tcPr>
          <w:p w14:paraId="578DC3C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40.10pt" w:type="dxa"/>
            <w:tcBorders>
              <w:top w:val="single" w:sz="4" w:space="0" w:color="auto"/>
              <w:start w:val="nil"/>
              <w:bottom w:val="single" w:sz="4" w:space="0" w:color="auto"/>
              <w:end w:val="nil"/>
            </w:tcBorders>
            <w:shd w:val="clear" w:color="auto" w:fill="auto"/>
            <w:noWrap/>
            <w:vAlign w:val="center"/>
            <w:hideMark/>
          </w:tcPr>
          <w:p w14:paraId="749D809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c>
          <w:tcPr>
            <w:tcW w:w="33.50pt" w:type="dxa"/>
            <w:tcBorders>
              <w:top w:val="single" w:sz="4" w:space="0" w:color="auto"/>
              <w:start w:val="nil"/>
              <w:bottom w:val="single" w:sz="4" w:space="0" w:color="auto"/>
              <w:end w:val="nil"/>
            </w:tcBorders>
            <w:shd w:val="clear" w:color="auto" w:fill="auto"/>
            <w:noWrap/>
            <w:vAlign w:val="center"/>
            <w:hideMark/>
          </w:tcPr>
          <w:p w14:paraId="595BEB8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34.40pt" w:type="dxa"/>
            <w:tcBorders>
              <w:top w:val="single" w:sz="4" w:space="0" w:color="auto"/>
              <w:start w:val="nil"/>
              <w:bottom w:val="single" w:sz="4" w:space="0" w:color="auto"/>
              <w:end w:val="nil"/>
            </w:tcBorders>
            <w:shd w:val="clear" w:color="auto" w:fill="auto"/>
            <w:noWrap/>
            <w:vAlign w:val="center"/>
            <w:hideMark/>
          </w:tcPr>
          <w:p w14:paraId="3666F0C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c>
          <w:tcPr>
            <w:tcW w:w="33.50pt" w:type="dxa"/>
            <w:tcBorders>
              <w:top w:val="single" w:sz="4" w:space="0" w:color="auto"/>
              <w:start w:val="nil"/>
              <w:bottom w:val="single" w:sz="4" w:space="0" w:color="auto"/>
              <w:end w:val="nil"/>
            </w:tcBorders>
            <w:shd w:val="clear" w:color="auto" w:fill="auto"/>
            <w:noWrap/>
            <w:vAlign w:val="center"/>
            <w:hideMark/>
          </w:tcPr>
          <w:p w14:paraId="262F191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34.40pt" w:type="dxa"/>
            <w:tcBorders>
              <w:top w:val="single" w:sz="4" w:space="0" w:color="auto"/>
              <w:start w:val="nil"/>
              <w:bottom w:val="single" w:sz="4" w:space="0" w:color="auto"/>
              <w:end w:val="nil"/>
            </w:tcBorders>
            <w:shd w:val="clear" w:color="auto" w:fill="auto"/>
            <w:noWrap/>
            <w:vAlign w:val="center"/>
            <w:hideMark/>
          </w:tcPr>
          <w:p w14:paraId="77E286A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c>
          <w:tcPr>
            <w:tcW w:w="33.50pt" w:type="dxa"/>
            <w:tcBorders>
              <w:top w:val="single" w:sz="4" w:space="0" w:color="auto"/>
              <w:start w:val="nil"/>
              <w:bottom w:val="single" w:sz="4" w:space="0" w:color="auto"/>
              <w:end w:val="nil"/>
            </w:tcBorders>
            <w:shd w:val="clear" w:color="auto" w:fill="auto"/>
            <w:noWrap/>
            <w:vAlign w:val="center"/>
            <w:hideMark/>
          </w:tcPr>
          <w:p w14:paraId="4854CC2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34.40pt" w:type="dxa"/>
            <w:tcBorders>
              <w:top w:val="single" w:sz="4" w:space="0" w:color="auto"/>
              <w:start w:val="nil"/>
              <w:bottom w:val="single" w:sz="4" w:space="0" w:color="auto"/>
              <w:end w:val="nil"/>
            </w:tcBorders>
            <w:shd w:val="clear" w:color="auto" w:fill="auto"/>
            <w:noWrap/>
            <w:vAlign w:val="center"/>
            <w:hideMark/>
          </w:tcPr>
          <w:p w14:paraId="7829989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c>
          <w:tcPr>
            <w:tcW w:w="41.65pt" w:type="dxa"/>
            <w:tcBorders>
              <w:top w:val="single" w:sz="4" w:space="0" w:color="auto"/>
              <w:start w:val="nil"/>
              <w:bottom w:val="single" w:sz="4" w:space="0" w:color="auto"/>
              <w:end w:val="nil"/>
            </w:tcBorders>
            <w:shd w:val="clear" w:color="auto" w:fill="auto"/>
            <w:noWrap/>
            <w:vAlign w:val="center"/>
            <w:hideMark/>
          </w:tcPr>
          <w:p w14:paraId="6ED096B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42.80pt" w:type="dxa"/>
            <w:tcBorders>
              <w:top w:val="single" w:sz="4" w:space="0" w:color="auto"/>
              <w:start w:val="nil"/>
              <w:bottom w:val="single" w:sz="4" w:space="0" w:color="auto"/>
              <w:end w:val="nil"/>
            </w:tcBorders>
            <w:shd w:val="clear" w:color="auto" w:fill="auto"/>
            <w:noWrap/>
            <w:vAlign w:val="center"/>
            <w:hideMark/>
          </w:tcPr>
          <w:p w14:paraId="53323EF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c>
          <w:tcPr>
            <w:tcW w:w="33.50pt" w:type="dxa"/>
            <w:tcBorders>
              <w:top w:val="single" w:sz="4" w:space="0" w:color="auto"/>
              <w:start w:val="nil"/>
              <w:bottom w:val="single" w:sz="4" w:space="0" w:color="auto"/>
              <w:end w:val="nil"/>
            </w:tcBorders>
            <w:shd w:val="clear" w:color="auto" w:fill="auto"/>
            <w:noWrap/>
            <w:vAlign w:val="center"/>
            <w:hideMark/>
          </w:tcPr>
          <w:p w14:paraId="49A5B5B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34.40pt" w:type="dxa"/>
            <w:tcBorders>
              <w:top w:val="single" w:sz="4" w:space="0" w:color="auto"/>
              <w:start w:val="nil"/>
              <w:bottom w:val="single" w:sz="4" w:space="0" w:color="auto"/>
              <w:end w:val="nil"/>
            </w:tcBorders>
            <w:shd w:val="clear" w:color="auto" w:fill="auto"/>
            <w:noWrap/>
            <w:vAlign w:val="center"/>
            <w:hideMark/>
          </w:tcPr>
          <w:p w14:paraId="7539D5B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r>
    </w:tbl>
    <w:p w14:paraId="49F6671C"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p>
    <w:p w14:paraId="0CDE6EB3"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El análisis descriptivo de los ítems de infracciones tributarias, se presenta en la Tabla 1, donde se describen los resultados de la valoración de las infracciones como: normal, leve, de consideración y grave. En este sentido se puede observar que, para los ítems comprobante de pago, obtención de Registro Único de Contribuyentes (RUC), pago de impuestos y declaración de impuestos la valoración ha sido considerada como una infracción de consideración, con un 33.4%, 34.3%, 37.4% y 37.4% respectivamente. Los porcentajes descritos son mayores a diferencia de otras categorías (normal, leve o grave) de valoración de los mismos ítems. Por otro lado, también se puede observar que en el caso de las infracciones de no contar con licencia de funcionamiento y de no tener libros contables, el porcentaje que concentra mayor cantidad de comerciantes se encuentra en la valoración de grave, con un 41.1% y 43.4% respectivamente.</w:t>
      </w:r>
    </w:p>
    <w:p w14:paraId="4C496E1E" w14:textId="21EE39A5" w:rsid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En este estudio, se incluyeron además de las variables contables, variables de índole socio demográficas para una mejor comprensión del tema estudiado, es así que se consideraron el régimen tributario en el Perú como: Nuevo Régimen Único Simplificado (NRUS), Régimen Especial de Renta (RER), Régimen para Micro y Pequeñas Empresas (MYPE) y para los comerciantes que no pertenecen a ninguno de estos Régimen, se les consideró como (NA). También se consideró la ubicación y el tiempo que llevan operando en el mercado de Lima.</w:t>
      </w:r>
    </w:p>
    <w:p w14:paraId="4B2625DD" w14:textId="77777777" w:rsidR="008A1537" w:rsidRPr="00E845CC" w:rsidRDefault="008A1537"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p>
    <w:p w14:paraId="38124B5E"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r w:rsidRPr="00E845CC">
        <w:rPr>
          <w:rFonts w:ascii="Times New Roman" w:hAnsi="Times New Roman" w:cs="Times New Roman"/>
          <w:b/>
          <w:bCs/>
          <w:lang w:val="es-PE"/>
        </w:rPr>
        <w:t>Tabla 2</w:t>
      </w:r>
    </w:p>
    <w:p w14:paraId="30E22027"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i/>
          <w:iCs/>
          <w:lang w:val="es-PE"/>
        </w:rPr>
      </w:pPr>
      <w:r w:rsidRPr="00E845CC">
        <w:rPr>
          <w:rFonts w:ascii="Times New Roman" w:hAnsi="Times New Roman" w:cs="Times New Roman"/>
          <w:i/>
          <w:iCs/>
          <w:lang w:val="es-PE"/>
        </w:rPr>
        <w:t>Valoración de las infracciones tributarias según el régimen tributario</w:t>
      </w:r>
    </w:p>
    <w:tbl>
      <w:tblPr>
        <w:tblW w:w="470.40pt" w:type="dxa"/>
        <w:jc w:val="center"/>
        <w:tblCellMar>
          <w:start w:w="3.50pt" w:type="dxa"/>
          <w:end w:w="3.50pt" w:type="dxa"/>
        </w:tblCellMar>
        <w:tblLook w:firstRow="1" w:lastRow="0" w:firstColumn="1" w:lastColumn="0" w:noHBand="0" w:noVBand="1"/>
      </w:tblPr>
      <w:tblGrid>
        <w:gridCol w:w="1034"/>
        <w:gridCol w:w="813"/>
        <w:gridCol w:w="884"/>
        <w:gridCol w:w="884"/>
        <w:gridCol w:w="1047"/>
        <w:gridCol w:w="884"/>
        <w:gridCol w:w="1047"/>
        <w:gridCol w:w="884"/>
        <w:gridCol w:w="1047"/>
        <w:gridCol w:w="884"/>
      </w:tblGrid>
      <w:tr w:rsidR="00E845CC" w:rsidRPr="008A1537" w14:paraId="08CEC679" w14:textId="77777777" w:rsidTr="008A1537">
        <w:trPr>
          <w:trHeight w:val="359"/>
          <w:jc w:val="center"/>
        </w:trPr>
        <w:tc>
          <w:tcPr>
            <w:tcW w:w="116.65pt" w:type="dxa"/>
            <w:gridSpan w:val="2"/>
            <w:vMerge w:val="restart"/>
            <w:tcBorders>
              <w:top w:val="single" w:sz="4" w:space="0" w:color="auto"/>
              <w:start w:val="nil"/>
              <w:bottom w:val="single" w:sz="4" w:space="0" w:color="000000"/>
              <w:end w:val="nil"/>
            </w:tcBorders>
            <w:shd w:val="clear" w:color="auto" w:fill="auto"/>
            <w:vAlign w:val="bottom"/>
            <w:hideMark/>
          </w:tcPr>
          <w:p w14:paraId="6DF84B3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w:t>
            </w:r>
          </w:p>
        </w:tc>
        <w:tc>
          <w:tcPr>
            <w:tcW w:w="353.75pt" w:type="dxa"/>
            <w:gridSpan w:val="8"/>
            <w:tcBorders>
              <w:top w:val="single" w:sz="4" w:space="0" w:color="auto"/>
              <w:start w:val="nil"/>
              <w:bottom w:val="nil"/>
              <w:end w:val="nil"/>
            </w:tcBorders>
            <w:shd w:val="clear" w:color="auto" w:fill="auto"/>
            <w:vAlign w:val="bottom"/>
            <w:hideMark/>
          </w:tcPr>
          <w:p w14:paraId="6969542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Infracciones tributarias</w:t>
            </w:r>
          </w:p>
        </w:tc>
      </w:tr>
      <w:tr w:rsidR="00E845CC" w:rsidRPr="008A1537" w14:paraId="32756870" w14:textId="77777777" w:rsidTr="008A1537">
        <w:trPr>
          <w:trHeight w:val="359"/>
          <w:jc w:val="center"/>
        </w:trPr>
        <w:tc>
          <w:tcPr>
            <w:tcW w:w="116.65pt" w:type="dxa"/>
            <w:gridSpan w:val="2"/>
            <w:vMerge/>
            <w:tcBorders>
              <w:top w:val="single" w:sz="4" w:space="0" w:color="auto"/>
              <w:start w:val="nil"/>
              <w:bottom w:val="single" w:sz="4" w:space="0" w:color="000000"/>
              <w:end w:val="nil"/>
            </w:tcBorders>
            <w:vAlign w:val="center"/>
            <w:hideMark/>
          </w:tcPr>
          <w:p w14:paraId="7FA0C30E" w14:textId="77777777" w:rsidR="00E845CC" w:rsidRPr="008A1537" w:rsidRDefault="00E845CC" w:rsidP="008A1537">
            <w:pPr>
              <w:rPr>
                <w:rFonts w:ascii="Times New Roman" w:hAnsi="Times New Roman" w:cs="Times New Roman"/>
              </w:rPr>
            </w:pPr>
          </w:p>
        </w:tc>
        <w:tc>
          <w:tcPr>
            <w:tcW w:w="88.40pt" w:type="dxa"/>
            <w:gridSpan w:val="2"/>
            <w:tcBorders>
              <w:top w:val="single" w:sz="4" w:space="0" w:color="auto"/>
              <w:start w:val="nil"/>
              <w:bottom w:val="single" w:sz="4" w:space="0" w:color="auto"/>
              <w:end w:val="nil"/>
            </w:tcBorders>
            <w:shd w:val="clear" w:color="auto" w:fill="auto"/>
            <w:vAlign w:val="bottom"/>
            <w:hideMark/>
          </w:tcPr>
          <w:p w14:paraId="5567EBA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Normal</w:t>
            </w:r>
          </w:p>
        </w:tc>
        <w:tc>
          <w:tcPr>
            <w:tcW w:w="88.40pt" w:type="dxa"/>
            <w:gridSpan w:val="2"/>
            <w:tcBorders>
              <w:top w:val="single" w:sz="4" w:space="0" w:color="auto"/>
              <w:start w:val="nil"/>
              <w:bottom w:val="single" w:sz="4" w:space="0" w:color="auto"/>
              <w:end w:val="nil"/>
            </w:tcBorders>
            <w:shd w:val="clear" w:color="auto" w:fill="auto"/>
            <w:vAlign w:val="bottom"/>
            <w:hideMark/>
          </w:tcPr>
          <w:p w14:paraId="0EC7E0A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Leve</w:t>
            </w:r>
          </w:p>
        </w:tc>
        <w:tc>
          <w:tcPr>
            <w:tcW w:w="88.40pt" w:type="dxa"/>
            <w:gridSpan w:val="2"/>
            <w:tcBorders>
              <w:top w:val="single" w:sz="4" w:space="0" w:color="auto"/>
              <w:start w:val="nil"/>
              <w:bottom w:val="single" w:sz="4" w:space="0" w:color="auto"/>
              <w:end w:val="nil"/>
            </w:tcBorders>
            <w:shd w:val="clear" w:color="auto" w:fill="auto"/>
            <w:vAlign w:val="bottom"/>
            <w:hideMark/>
          </w:tcPr>
          <w:p w14:paraId="250213A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De consideración</w:t>
            </w:r>
          </w:p>
        </w:tc>
        <w:tc>
          <w:tcPr>
            <w:tcW w:w="88.40pt" w:type="dxa"/>
            <w:gridSpan w:val="2"/>
            <w:tcBorders>
              <w:top w:val="single" w:sz="4" w:space="0" w:color="auto"/>
              <w:start w:val="nil"/>
              <w:bottom w:val="single" w:sz="4" w:space="0" w:color="auto"/>
              <w:end w:val="nil"/>
            </w:tcBorders>
            <w:shd w:val="clear" w:color="auto" w:fill="auto"/>
            <w:vAlign w:val="bottom"/>
            <w:hideMark/>
          </w:tcPr>
          <w:p w14:paraId="5BB7BA5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Grave</w:t>
            </w:r>
          </w:p>
        </w:tc>
      </w:tr>
      <w:tr w:rsidR="00E845CC" w:rsidRPr="008A1537" w14:paraId="6B0B3382" w14:textId="77777777" w:rsidTr="008A1537">
        <w:trPr>
          <w:trHeight w:val="575"/>
          <w:jc w:val="center"/>
        </w:trPr>
        <w:tc>
          <w:tcPr>
            <w:tcW w:w="116.65pt" w:type="dxa"/>
            <w:gridSpan w:val="2"/>
            <w:vMerge/>
            <w:tcBorders>
              <w:top w:val="single" w:sz="4" w:space="0" w:color="auto"/>
              <w:start w:val="nil"/>
              <w:bottom w:val="single" w:sz="4" w:space="0" w:color="000000"/>
              <w:end w:val="nil"/>
            </w:tcBorders>
            <w:vAlign w:val="center"/>
            <w:hideMark/>
          </w:tcPr>
          <w:p w14:paraId="5D3464AE" w14:textId="77777777" w:rsidR="00E845CC" w:rsidRPr="008A1537" w:rsidRDefault="00E845CC" w:rsidP="008A1537">
            <w:pPr>
              <w:rPr>
                <w:rFonts w:ascii="Times New Roman" w:hAnsi="Times New Roman" w:cs="Times New Roman"/>
              </w:rPr>
            </w:pPr>
          </w:p>
        </w:tc>
        <w:tc>
          <w:tcPr>
            <w:tcW w:w="44.20pt" w:type="dxa"/>
            <w:tcBorders>
              <w:top w:val="nil"/>
              <w:start w:val="nil"/>
              <w:bottom w:val="single" w:sz="4" w:space="0" w:color="auto"/>
              <w:end w:val="nil"/>
            </w:tcBorders>
            <w:shd w:val="clear" w:color="auto" w:fill="auto"/>
            <w:vAlign w:val="center"/>
            <w:hideMark/>
          </w:tcPr>
          <w:p w14:paraId="3E0758C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44.20pt" w:type="dxa"/>
            <w:tcBorders>
              <w:top w:val="nil"/>
              <w:start w:val="nil"/>
              <w:bottom w:val="single" w:sz="4" w:space="0" w:color="auto"/>
              <w:end w:val="nil"/>
            </w:tcBorders>
            <w:shd w:val="clear" w:color="auto" w:fill="auto"/>
            <w:vAlign w:val="center"/>
            <w:hideMark/>
          </w:tcPr>
          <w:p w14:paraId="3AE6986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c>
          <w:tcPr>
            <w:tcW w:w="44.20pt" w:type="dxa"/>
            <w:tcBorders>
              <w:top w:val="nil"/>
              <w:start w:val="nil"/>
              <w:bottom w:val="single" w:sz="4" w:space="0" w:color="auto"/>
              <w:end w:val="nil"/>
            </w:tcBorders>
            <w:shd w:val="clear" w:color="auto" w:fill="auto"/>
            <w:vAlign w:val="center"/>
            <w:hideMark/>
          </w:tcPr>
          <w:p w14:paraId="3B71586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Recuento</w:t>
            </w:r>
          </w:p>
        </w:tc>
        <w:tc>
          <w:tcPr>
            <w:tcW w:w="44.20pt" w:type="dxa"/>
            <w:tcBorders>
              <w:top w:val="nil"/>
              <w:start w:val="nil"/>
              <w:bottom w:val="single" w:sz="4" w:space="0" w:color="auto"/>
              <w:end w:val="nil"/>
            </w:tcBorders>
            <w:shd w:val="clear" w:color="auto" w:fill="auto"/>
            <w:vAlign w:val="center"/>
            <w:hideMark/>
          </w:tcPr>
          <w:p w14:paraId="0659F92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c>
          <w:tcPr>
            <w:tcW w:w="44.20pt" w:type="dxa"/>
            <w:tcBorders>
              <w:top w:val="nil"/>
              <w:start w:val="nil"/>
              <w:bottom w:val="single" w:sz="4" w:space="0" w:color="auto"/>
              <w:end w:val="nil"/>
            </w:tcBorders>
            <w:shd w:val="clear" w:color="auto" w:fill="auto"/>
            <w:vAlign w:val="center"/>
            <w:hideMark/>
          </w:tcPr>
          <w:p w14:paraId="44B7554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Recuento</w:t>
            </w:r>
          </w:p>
        </w:tc>
        <w:tc>
          <w:tcPr>
            <w:tcW w:w="44.20pt" w:type="dxa"/>
            <w:tcBorders>
              <w:top w:val="nil"/>
              <w:start w:val="nil"/>
              <w:bottom w:val="single" w:sz="4" w:space="0" w:color="auto"/>
              <w:end w:val="nil"/>
            </w:tcBorders>
            <w:shd w:val="clear" w:color="auto" w:fill="auto"/>
            <w:vAlign w:val="center"/>
            <w:hideMark/>
          </w:tcPr>
          <w:p w14:paraId="484F936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c>
          <w:tcPr>
            <w:tcW w:w="44.20pt" w:type="dxa"/>
            <w:tcBorders>
              <w:top w:val="nil"/>
              <w:start w:val="nil"/>
              <w:bottom w:val="single" w:sz="4" w:space="0" w:color="auto"/>
              <w:end w:val="nil"/>
            </w:tcBorders>
            <w:shd w:val="clear" w:color="auto" w:fill="auto"/>
            <w:vAlign w:val="center"/>
            <w:hideMark/>
          </w:tcPr>
          <w:p w14:paraId="2FD5E37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Recuento</w:t>
            </w:r>
          </w:p>
        </w:tc>
        <w:tc>
          <w:tcPr>
            <w:tcW w:w="44.20pt" w:type="dxa"/>
            <w:tcBorders>
              <w:top w:val="nil"/>
              <w:start w:val="nil"/>
              <w:bottom w:val="single" w:sz="4" w:space="0" w:color="auto"/>
              <w:end w:val="nil"/>
            </w:tcBorders>
            <w:shd w:val="clear" w:color="auto" w:fill="auto"/>
            <w:vAlign w:val="center"/>
            <w:hideMark/>
          </w:tcPr>
          <w:p w14:paraId="3B84A71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r>
      <w:tr w:rsidR="00E845CC" w:rsidRPr="008A1537" w14:paraId="0964A49D" w14:textId="77777777" w:rsidTr="008A1537">
        <w:trPr>
          <w:trHeight w:val="359"/>
          <w:jc w:val="center"/>
        </w:trPr>
        <w:tc>
          <w:tcPr>
            <w:tcW w:w="52.65pt" w:type="dxa"/>
            <w:vMerge w:val="restart"/>
            <w:tcBorders>
              <w:top w:val="nil"/>
              <w:start w:val="nil"/>
              <w:bottom w:val="single" w:sz="4" w:space="0" w:color="000000"/>
              <w:end w:val="nil"/>
            </w:tcBorders>
            <w:shd w:val="clear" w:color="auto" w:fill="auto"/>
            <w:vAlign w:val="center"/>
            <w:hideMark/>
          </w:tcPr>
          <w:p w14:paraId="27C402B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Régimen tributario</w:t>
            </w:r>
          </w:p>
        </w:tc>
        <w:tc>
          <w:tcPr>
            <w:tcW w:w="63.95pt" w:type="dxa"/>
            <w:tcBorders>
              <w:top w:val="nil"/>
              <w:start w:val="nil"/>
              <w:bottom w:val="nil"/>
              <w:end w:val="nil"/>
            </w:tcBorders>
            <w:shd w:val="clear" w:color="auto" w:fill="auto"/>
            <w:vAlign w:val="center"/>
            <w:hideMark/>
          </w:tcPr>
          <w:p w14:paraId="25A9873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NRUS</w:t>
            </w:r>
          </w:p>
        </w:tc>
        <w:tc>
          <w:tcPr>
            <w:tcW w:w="44.20pt" w:type="dxa"/>
            <w:tcBorders>
              <w:top w:val="nil"/>
              <w:start w:val="nil"/>
              <w:bottom w:val="nil"/>
              <w:end w:val="nil"/>
            </w:tcBorders>
            <w:shd w:val="clear" w:color="auto" w:fill="auto"/>
            <w:noWrap/>
            <w:vAlign w:val="center"/>
            <w:hideMark/>
          </w:tcPr>
          <w:p w14:paraId="73B432A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13</w:t>
            </w:r>
          </w:p>
        </w:tc>
        <w:tc>
          <w:tcPr>
            <w:tcW w:w="44.20pt" w:type="dxa"/>
            <w:tcBorders>
              <w:top w:val="nil"/>
              <w:start w:val="nil"/>
              <w:bottom w:val="nil"/>
              <w:end w:val="nil"/>
            </w:tcBorders>
            <w:shd w:val="clear" w:color="auto" w:fill="auto"/>
            <w:noWrap/>
            <w:vAlign w:val="center"/>
            <w:hideMark/>
          </w:tcPr>
          <w:p w14:paraId="6308E27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12.1%</w:t>
            </w:r>
          </w:p>
        </w:tc>
        <w:tc>
          <w:tcPr>
            <w:tcW w:w="44.20pt" w:type="dxa"/>
            <w:tcBorders>
              <w:top w:val="nil"/>
              <w:start w:val="nil"/>
              <w:bottom w:val="nil"/>
              <w:end w:val="nil"/>
            </w:tcBorders>
            <w:shd w:val="clear" w:color="auto" w:fill="auto"/>
            <w:noWrap/>
            <w:vAlign w:val="center"/>
            <w:hideMark/>
          </w:tcPr>
          <w:p w14:paraId="66E43A4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13</w:t>
            </w:r>
          </w:p>
        </w:tc>
        <w:tc>
          <w:tcPr>
            <w:tcW w:w="44.20pt" w:type="dxa"/>
            <w:tcBorders>
              <w:top w:val="nil"/>
              <w:start w:val="nil"/>
              <w:bottom w:val="nil"/>
              <w:end w:val="nil"/>
            </w:tcBorders>
            <w:shd w:val="clear" w:color="auto" w:fill="auto"/>
            <w:noWrap/>
            <w:vAlign w:val="center"/>
            <w:hideMark/>
          </w:tcPr>
          <w:p w14:paraId="5C9BBFB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12.1%</w:t>
            </w:r>
          </w:p>
        </w:tc>
        <w:tc>
          <w:tcPr>
            <w:tcW w:w="44.20pt" w:type="dxa"/>
            <w:tcBorders>
              <w:top w:val="nil"/>
              <w:start w:val="nil"/>
              <w:bottom w:val="nil"/>
              <w:end w:val="nil"/>
            </w:tcBorders>
            <w:shd w:val="clear" w:color="auto" w:fill="auto"/>
            <w:noWrap/>
            <w:vAlign w:val="center"/>
            <w:hideMark/>
          </w:tcPr>
          <w:p w14:paraId="5E16526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19</w:t>
            </w:r>
          </w:p>
        </w:tc>
        <w:tc>
          <w:tcPr>
            <w:tcW w:w="44.20pt" w:type="dxa"/>
            <w:tcBorders>
              <w:top w:val="nil"/>
              <w:start w:val="nil"/>
              <w:bottom w:val="nil"/>
              <w:end w:val="nil"/>
            </w:tcBorders>
            <w:shd w:val="clear" w:color="auto" w:fill="auto"/>
            <w:noWrap/>
            <w:vAlign w:val="center"/>
            <w:hideMark/>
          </w:tcPr>
          <w:p w14:paraId="1964167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17.8%</w:t>
            </w:r>
          </w:p>
        </w:tc>
        <w:tc>
          <w:tcPr>
            <w:tcW w:w="44.20pt" w:type="dxa"/>
            <w:tcBorders>
              <w:top w:val="nil"/>
              <w:start w:val="nil"/>
              <w:bottom w:val="nil"/>
              <w:end w:val="nil"/>
            </w:tcBorders>
            <w:shd w:val="clear" w:color="auto" w:fill="auto"/>
            <w:noWrap/>
            <w:vAlign w:val="center"/>
            <w:hideMark/>
          </w:tcPr>
          <w:p w14:paraId="2FBF371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62</w:t>
            </w:r>
          </w:p>
        </w:tc>
        <w:tc>
          <w:tcPr>
            <w:tcW w:w="44.20pt" w:type="dxa"/>
            <w:tcBorders>
              <w:top w:val="nil"/>
              <w:start w:val="nil"/>
              <w:bottom w:val="nil"/>
              <w:end w:val="nil"/>
            </w:tcBorders>
            <w:shd w:val="clear" w:color="auto" w:fill="auto"/>
            <w:noWrap/>
            <w:vAlign w:val="center"/>
            <w:hideMark/>
          </w:tcPr>
          <w:p w14:paraId="55B12EF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57.9%</w:t>
            </w:r>
          </w:p>
        </w:tc>
      </w:tr>
      <w:tr w:rsidR="00E845CC" w:rsidRPr="008A1537" w14:paraId="38EDFD78" w14:textId="77777777" w:rsidTr="008A1537">
        <w:trPr>
          <w:trHeight w:val="359"/>
          <w:jc w:val="center"/>
        </w:trPr>
        <w:tc>
          <w:tcPr>
            <w:tcW w:w="52.65pt" w:type="dxa"/>
            <w:vMerge/>
            <w:tcBorders>
              <w:top w:val="nil"/>
              <w:start w:val="nil"/>
              <w:bottom w:val="single" w:sz="4" w:space="0" w:color="000000"/>
              <w:end w:val="nil"/>
            </w:tcBorders>
            <w:vAlign w:val="center"/>
            <w:hideMark/>
          </w:tcPr>
          <w:p w14:paraId="750BC272" w14:textId="77777777" w:rsidR="00E845CC" w:rsidRPr="008A1537" w:rsidRDefault="00E845CC" w:rsidP="008A1537">
            <w:pPr>
              <w:rPr>
                <w:rFonts w:ascii="Times New Roman" w:hAnsi="Times New Roman" w:cs="Times New Roman"/>
              </w:rPr>
            </w:pPr>
          </w:p>
        </w:tc>
        <w:tc>
          <w:tcPr>
            <w:tcW w:w="63.95pt" w:type="dxa"/>
            <w:tcBorders>
              <w:top w:val="nil"/>
              <w:start w:val="nil"/>
              <w:bottom w:val="nil"/>
              <w:end w:val="nil"/>
            </w:tcBorders>
            <w:shd w:val="clear" w:color="auto" w:fill="auto"/>
            <w:vAlign w:val="center"/>
            <w:hideMark/>
          </w:tcPr>
          <w:p w14:paraId="5F2F7E1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RER</w:t>
            </w:r>
          </w:p>
        </w:tc>
        <w:tc>
          <w:tcPr>
            <w:tcW w:w="44.20pt" w:type="dxa"/>
            <w:tcBorders>
              <w:top w:val="nil"/>
              <w:start w:val="nil"/>
              <w:bottom w:val="nil"/>
              <w:end w:val="nil"/>
            </w:tcBorders>
            <w:shd w:val="clear" w:color="auto" w:fill="auto"/>
            <w:noWrap/>
            <w:vAlign w:val="center"/>
            <w:hideMark/>
          </w:tcPr>
          <w:p w14:paraId="3C04D06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14</w:t>
            </w:r>
          </w:p>
        </w:tc>
        <w:tc>
          <w:tcPr>
            <w:tcW w:w="44.20pt" w:type="dxa"/>
            <w:tcBorders>
              <w:top w:val="nil"/>
              <w:start w:val="nil"/>
              <w:bottom w:val="nil"/>
              <w:end w:val="nil"/>
            </w:tcBorders>
            <w:shd w:val="clear" w:color="auto" w:fill="auto"/>
            <w:noWrap/>
            <w:vAlign w:val="center"/>
            <w:hideMark/>
          </w:tcPr>
          <w:p w14:paraId="1FBC0B6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15.9%</w:t>
            </w:r>
          </w:p>
        </w:tc>
        <w:tc>
          <w:tcPr>
            <w:tcW w:w="44.20pt" w:type="dxa"/>
            <w:tcBorders>
              <w:top w:val="nil"/>
              <w:start w:val="nil"/>
              <w:bottom w:val="nil"/>
              <w:end w:val="nil"/>
            </w:tcBorders>
            <w:shd w:val="clear" w:color="auto" w:fill="auto"/>
            <w:noWrap/>
            <w:vAlign w:val="center"/>
            <w:hideMark/>
          </w:tcPr>
          <w:p w14:paraId="0C0D942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23</w:t>
            </w:r>
          </w:p>
        </w:tc>
        <w:tc>
          <w:tcPr>
            <w:tcW w:w="44.20pt" w:type="dxa"/>
            <w:tcBorders>
              <w:top w:val="nil"/>
              <w:start w:val="nil"/>
              <w:bottom w:val="nil"/>
              <w:end w:val="nil"/>
            </w:tcBorders>
            <w:shd w:val="clear" w:color="auto" w:fill="auto"/>
            <w:noWrap/>
            <w:vAlign w:val="center"/>
            <w:hideMark/>
          </w:tcPr>
          <w:p w14:paraId="7FF8948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26.1%</w:t>
            </w:r>
          </w:p>
        </w:tc>
        <w:tc>
          <w:tcPr>
            <w:tcW w:w="44.20pt" w:type="dxa"/>
            <w:tcBorders>
              <w:top w:val="nil"/>
              <w:start w:val="nil"/>
              <w:bottom w:val="nil"/>
              <w:end w:val="nil"/>
            </w:tcBorders>
            <w:shd w:val="clear" w:color="auto" w:fill="auto"/>
            <w:noWrap/>
            <w:vAlign w:val="center"/>
            <w:hideMark/>
          </w:tcPr>
          <w:p w14:paraId="7E67A18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27</w:t>
            </w:r>
          </w:p>
        </w:tc>
        <w:tc>
          <w:tcPr>
            <w:tcW w:w="44.20pt" w:type="dxa"/>
            <w:tcBorders>
              <w:top w:val="nil"/>
              <w:start w:val="nil"/>
              <w:bottom w:val="nil"/>
              <w:end w:val="nil"/>
            </w:tcBorders>
            <w:shd w:val="clear" w:color="auto" w:fill="auto"/>
            <w:noWrap/>
            <w:vAlign w:val="center"/>
            <w:hideMark/>
          </w:tcPr>
          <w:p w14:paraId="68AD0D8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30.7%</w:t>
            </w:r>
          </w:p>
        </w:tc>
        <w:tc>
          <w:tcPr>
            <w:tcW w:w="44.20pt" w:type="dxa"/>
            <w:tcBorders>
              <w:top w:val="nil"/>
              <w:start w:val="nil"/>
              <w:bottom w:val="nil"/>
              <w:end w:val="nil"/>
            </w:tcBorders>
            <w:shd w:val="clear" w:color="auto" w:fill="auto"/>
            <w:noWrap/>
            <w:vAlign w:val="center"/>
            <w:hideMark/>
          </w:tcPr>
          <w:p w14:paraId="51EC477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24</w:t>
            </w:r>
          </w:p>
        </w:tc>
        <w:tc>
          <w:tcPr>
            <w:tcW w:w="44.20pt" w:type="dxa"/>
            <w:tcBorders>
              <w:top w:val="nil"/>
              <w:start w:val="nil"/>
              <w:bottom w:val="nil"/>
              <w:end w:val="nil"/>
            </w:tcBorders>
            <w:shd w:val="clear" w:color="auto" w:fill="auto"/>
            <w:noWrap/>
            <w:vAlign w:val="center"/>
            <w:hideMark/>
          </w:tcPr>
          <w:p w14:paraId="707E50C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27.3%</w:t>
            </w:r>
          </w:p>
        </w:tc>
      </w:tr>
      <w:tr w:rsidR="00E845CC" w:rsidRPr="008A1537" w14:paraId="514D50E7" w14:textId="77777777" w:rsidTr="008A1537">
        <w:trPr>
          <w:trHeight w:val="359"/>
          <w:jc w:val="center"/>
        </w:trPr>
        <w:tc>
          <w:tcPr>
            <w:tcW w:w="52.65pt" w:type="dxa"/>
            <w:vMerge/>
            <w:tcBorders>
              <w:top w:val="nil"/>
              <w:start w:val="nil"/>
              <w:bottom w:val="single" w:sz="4" w:space="0" w:color="000000"/>
              <w:end w:val="nil"/>
            </w:tcBorders>
            <w:vAlign w:val="center"/>
            <w:hideMark/>
          </w:tcPr>
          <w:p w14:paraId="1D21C554" w14:textId="77777777" w:rsidR="00E845CC" w:rsidRPr="008A1537" w:rsidRDefault="00E845CC" w:rsidP="008A1537">
            <w:pPr>
              <w:rPr>
                <w:rFonts w:ascii="Times New Roman" w:hAnsi="Times New Roman" w:cs="Times New Roman"/>
              </w:rPr>
            </w:pPr>
          </w:p>
        </w:tc>
        <w:tc>
          <w:tcPr>
            <w:tcW w:w="63.95pt" w:type="dxa"/>
            <w:tcBorders>
              <w:top w:val="nil"/>
              <w:start w:val="nil"/>
              <w:bottom w:val="nil"/>
              <w:end w:val="nil"/>
            </w:tcBorders>
            <w:shd w:val="clear" w:color="auto" w:fill="auto"/>
            <w:vAlign w:val="center"/>
            <w:hideMark/>
          </w:tcPr>
          <w:p w14:paraId="339BEE1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MYPE</w:t>
            </w:r>
          </w:p>
        </w:tc>
        <w:tc>
          <w:tcPr>
            <w:tcW w:w="44.20pt" w:type="dxa"/>
            <w:tcBorders>
              <w:top w:val="nil"/>
              <w:start w:val="nil"/>
              <w:bottom w:val="nil"/>
              <w:end w:val="nil"/>
            </w:tcBorders>
            <w:shd w:val="clear" w:color="auto" w:fill="auto"/>
            <w:noWrap/>
            <w:vAlign w:val="center"/>
            <w:hideMark/>
          </w:tcPr>
          <w:p w14:paraId="000A12F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w:t>
            </w:r>
          </w:p>
        </w:tc>
        <w:tc>
          <w:tcPr>
            <w:tcW w:w="44.20pt" w:type="dxa"/>
            <w:tcBorders>
              <w:top w:val="nil"/>
              <w:start w:val="nil"/>
              <w:bottom w:val="nil"/>
              <w:end w:val="nil"/>
            </w:tcBorders>
            <w:shd w:val="clear" w:color="auto" w:fill="auto"/>
            <w:noWrap/>
            <w:vAlign w:val="center"/>
            <w:hideMark/>
          </w:tcPr>
          <w:p w14:paraId="1D867E6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3.4%</w:t>
            </w:r>
          </w:p>
        </w:tc>
        <w:tc>
          <w:tcPr>
            <w:tcW w:w="44.20pt" w:type="dxa"/>
            <w:tcBorders>
              <w:top w:val="nil"/>
              <w:start w:val="nil"/>
              <w:bottom w:val="nil"/>
              <w:end w:val="nil"/>
            </w:tcBorders>
            <w:shd w:val="clear" w:color="auto" w:fill="auto"/>
            <w:noWrap/>
            <w:vAlign w:val="center"/>
            <w:hideMark/>
          </w:tcPr>
          <w:p w14:paraId="4BACD64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w:t>
            </w:r>
          </w:p>
        </w:tc>
        <w:tc>
          <w:tcPr>
            <w:tcW w:w="44.20pt" w:type="dxa"/>
            <w:tcBorders>
              <w:top w:val="nil"/>
              <w:start w:val="nil"/>
              <w:bottom w:val="nil"/>
              <w:end w:val="nil"/>
            </w:tcBorders>
            <w:shd w:val="clear" w:color="auto" w:fill="auto"/>
            <w:noWrap/>
            <w:vAlign w:val="center"/>
            <w:hideMark/>
          </w:tcPr>
          <w:p w14:paraId="40A4DEC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4.6%</w:t>
            </w:r>
          </w:p>
        </w:tc>
        <w:tc>
          <w:tcPr>
            <w:tcW w:w="44.20pt" w:type="dxa"/>
            <w:tcBorders>
              <w:top w:val="nil"/>
              <w:start w:val="nil"/>
              <w:bottom w:val="nil"/>
              <w:end w:val="nil"/>
            </w:tcBorders>
            <w:shd w:val="clear" w:color="auto" w:fill="auto"/>
            <w:noWrap/>
            <w:vAlign w:val="center"/>
            <w:hideMark/>
          </w:tcPr>
          <w:p w14:paraId="100407C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25</w:t>
            </w:r>
          </w:p>
        </w:tc>
        <w:tc>
          <w:tcPr>
            <w:tcW w:w="44.20pt" w:type="dxa"/>
            <w:tcBorders>
              <w:top w:val="nil"/>
              <w:start w:val="nil"/>
              <w:bottom w:val="nil"/>
              <w:end w:val="nil"/>
            </w:tcBorders>
            <w:shd w:val="clear" w:color="auto" w:fill="auto"/>
            <w:noWrap/>
            <w:vAlign w:val="center"/>
            <w:hideMark/>
          </w:tcPr>
          <w:p w14:paraId="05AA7A8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28.7%</w:t>
            </w:r>
          </w:p>
        </w:tc>
        <w:tc>
          <w:tcPr>
            <w:tcW w:w="44.20pt" w:type="dxa"/>
            <w:tcBorders>
              <w:top w:val="nil"/>
              <w:start w:val="nil"/>
              <w:bottom w:val="nil"/>
              <w:end w:val="nil"/>
            </w:tcBorders>
            <w:shd w:val="clear" w:color="auto" w:fill="auto"/>
            <w:noWrap/>
            <w:vAlign w:val="center"/>
            <w:hideMark/>
          </w:tcPr>
          <w:p w14:paraId="782BCA8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55</w:t>
            </w:r>
          </w:p>
        </w:tc>
        <w:tc>
          <w:tcPr>
            <w:tcW w:w="44.20pt" w:type="dxa"/>
            <w:tcBorders>
              <w:top w:val="nil"/>
              <w:start w:val="nil"/>
              <w:bottom w:val="nil"/>
              <w:end w:val="nil"/>
            </w:tcBorders>
            <w:shd w:val="clear" w:color="auto" w:fill="auto"/>
            <w:noWrap/>
            <w:vAlign w:val="center"/>
            <w:hideMark/>
          </w:tcPr>
          <w:p w14:paraId="4305D1C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63.2%</w:t>
            </w:r>
          </w:p>
        </w:tc>
      </w:tr>
      <w:tr w:rsidR="00E845CC" w:rsidRPr="008A1537" w14:paraId="76DEE5B8" w14:textId="77777777" w:rsidTr="008A1537">
        <w:trPr>
          <w:trHeight w:val="359"/>
          <w:jc w:val="center"/>
        </w:trPr>
        <w:tc>
          <w:tcPr>
            <w:tcW w:w="52.65pt" w:type="dxa"/>
            <w:vMerge/>
            <w:tcBorders>
              <w:top w:val="nil"/>
              <w:start w:val="nil"/>
              <w:bottom w:val="single" w:sz="4" w:space="0" w:color="000000"/>
              <w:end w:val="nil"/>
            </w:tcBorders>
            <w:vAlign w:val="center"/>
            <w:hideMark/>
          </w:tcPr>
          <w:p w14:paraId="1E257BB2" w14:textId="77777777" w:rsidR="00E845CC" w:rsidRPr="008A1537" w:rsidRDefault="00E845CC" w:rsidP="008A1537">
            <w:pPr>
              <w:rPr>
                <w:rFonts w:ascii="Times New Roman" w:hAnsi="Times New Roman" w:cs="Times New Roman"/>
              </w:rPr>
            </w:pPr>
          </w:p>
        </w:tc>
        <w:tc>
          <w:tcPr>
            <w:tcW w:w="63.95pt" w:type="dxa"/>
            <w:tcBorders>
              <w:top w:val="nil"/>
              <w:start w:val="nil"/>
              <w:bottom w:val="single" w:sz="4" w:space="0" w:color="auto"/>
              <w:end w:val="nil"/>
            </w:tcBorders>
            <w:shd w:val="clear" w:color="auto" w:fill="auto"/>
            <w:vAlign w:val="center"/>
            <w:hideMark/>
          </w:tcPr>
          <w:p w14:paraId="1F0723F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NA</w:t>
            </w:r>
          </w:p>
        </w:tc>
        <w:tc>
          <w:tcPr>
            <w:tcW w:w="44.20pt" w:type="dxa"/>
            <w:tcBorders>
              <w:top w:val="nil"/>
              <w:start w:val="nil"/>
              <w:bottom w:val="single" w:sz="4" w:space="0" w:color="auto"/>
              <w:end w:val="nil"/>
            </w:tcBorders>
            <w:shd w:val="clear" w:color="auto" w:fill="auto"/>
            <w:noWrap/>
            <w:vAlign w:val="center"/>
            <w:hideMark/>
          </w:tcPr>
          <w:p w14:paraId="6FFBC5C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14</w:t>
            </w:r>
          </w:p>
        </w:tc>
        <w:tc>
          <w:tcPr>
            <w:tcW w:w="44.20pt" w:type="dxa"/>
            <w:tcBorders>
              <w:top w:val="nil"/>
              <w:start w:val="nil"/>
              <w:bottom w:val="single" w:sz="4" w:space="0" w:color="auto"/>
              <w:end w:val="nil"/>
            </w:tcBorders>
            <w:shd w:val="clear" w:color="auto" w:fill="auto"/>
            <w:noWrap/>
            <w:vAlign w:val="center"/>
            <w:hideMark/>
          </w:tcPr>
          <w:p w14:paraId="28E001B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20.6%</w:t>
            </w:r>
          </w:p>
        </w:tc>
        <w:tc>
          <w:tcPr>
            <w:tcW w:w="44.20pt" w:type="dxa"/>
            <w:tcBorders>
              <w:top w:val="nil"/>
              <w:start w:val="nil"/>
              <w:bottom w:val="single" w:sz="4" w:space="0" w:color="auto"/>
              <w:end w:val="nil"/>
            </w:tcBorders>
            <w:shd w:val="clear" w:color="auto" w:fill="auto"/>
            <w:noWrap/>
            <w:vAlign w:val="center"/>
            <w:hideMark/>
          </w:tcPr>
          <w:p w14:paraId="34AFBFC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23</w:t>
            </w:r>
          </w:p>
        </w:tc>
        <w:tc>
          <w:tcPr>
            <w:tcW w:w="44.20pt" w:type="dxa"/>
            <w:tcBorders>
              <w:top w:val="nil"/>
              <w:start w:val="nil"/>
              <w:bottom w:val="single" w:sz="4" w:space="0" w:color="auto"/>
              <w:end w:val="nil"/>
            </w:tcBorders>
            <w:shd w:val="clear" w:color="auto" w:fill="auto"/>
            <w:noWrap/>
            <w:vAlign w:val="center"/>
            <w:hideMark/>
          </w:tcPr>
          <w:p w14:paraId="555BE78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33.8%</w:t>
            </w:r>
          </w:p>
        </w:tc>
        <w:tc>
          <w:tcPr>
            <w:tcW w:w="44.20pt" w:type="dxa"/>
            <w:tcBorders>
              <w:top w:val="nil"/>
              <w:start w:val="nil"/>
              <w:bottom w:val="single" w:sz="4" w:space="0" w:color="auto"/>
              <w:end w:val="nil"/>
            </w:tcBorders>
            <w:shd w:val="clear" w:color="auto" w:fill="auto"/>
            <w:noWrap/>
            <w:vAlign w:val="center"/>
            <w:hideMark/>
          </w:tcPr>
          <w:p w14:paraId="41CE7B3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24</w:t>
            </w:r>
          </w:p>
        </w:tc>
        <w:tc>
          <w:tcPr>
            <w:tcW w:w="44.20pt" w:type="dxa"/>
            <w:tcBorders>
              <w:top w:val="nil"/>
              <w:start w:val="nil"/>
              <w:bottom w:val="single" w:sz="4" w:space="0" w:color="auto"/>
              <w:end w:val="nil"/>
            </w:tcBorders>
            <w:shd w:val="clear" w:color="auto" w:fill="auto"/>
            <w:noWrap/>
            <w:vAlign w:val="center"/>
            <w:hideMark/>
          </w:tcPr>
          <w:p w14:paraId="2959BDE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35.3%</w:t>
            </w:r>
          </w:p>
        </w:tc>
        <w:tc>
          <w:tcPr>
            <w:tcW w:w="44.20pt" w:type="dxa"/>
            <w:tcBorders>
              <w:top w:val="nil"/>
              <w:start w:val="nil"/>
              <w:bottom w:val="single" w:sz="4" w:space="0" w:color="auto"/>
              <w:end w:val="nil"/>
            </w:tcBorders>
            <w:shd w:val="clear" w:color="auto" w:fill="auto"/>
            <w:noWrap/>
            <w:vAlign w:val="center"/>
            <w:hideMark/>
          </w:tcPr>
          <w:p w14:paraId="72D7275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w:t>
            </w:r>
          </w:p>
        </w:tc>
        <w:tc>
          <w:tcPr>
            <w:tcW w:w="44.20pt" w:type="dxa"/>
            <w:tcBorders>
              <w:top w:val="nil"/>
              <w:start w:val="nil"/>
              <w:bottom w:val="single" w:sz="4" w:space="0" w:color="auto"/>
              <w:end w:val="nil"/>
            </w:tcBorders>
            <w:shd w:val="clear" w:color="auto" w:fill="auto"/>
            <w:noWrap/>
            <w:vAlign w:val="center"/>
            <w:hideMark/>
          </w:tcPr>
          <w:p w14:paraId="430D78C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10.3%</w:t>
            </w:r>
          </w:p>
        </w:tc>
      </w:tr>
    </w:tbl>
    <w:p w14:paraId="601FC0F9"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p>
    <w:p w14:paraId="3D3AF77C"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En la Tabla 2, se puede observar la valoración de las infracciones tributarias según el régimen tributario de los comerciantes, que, en el caso de los comerciantes participantes del Nuevo RUS, se observó que un 57.9% considera que las infracciones tributarias estudiadas son graves, mientras que el resto de comerciantes ubica de manera similar la valoración en las categorías de normal, leve y de consideración. </w:t>
      </w:r>
    </w:p>
    <w:p w14:paraId="1A352086"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En el caso de los comerciantes del RER se observa que el 30.7% de los comerciantes considera que las infracciones tributarias son de consideración, mientras que otros porcentajes parecidos ubican las opiniones de los comerciantes como leves o graves, mostrando que no existe mucha diferencia en la valoración de este régimen tributario.</w:t>
      </w:r>
    </w:p>
    <w:p w14:paraId="032D6B4E"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En el caso del régimen MYPE tributario, se puede observar que el 63.2% considera que las infracciones tributarias son graves, muestras que un porcentaje importante (28.7%) valora estas infracciones como de consideración, mostrando así que este régimen que tiene mayores exigencias tributarias, valora mejor las infracciones tributarias.</w:t>
      </w:r>
    </w:p>
    <w:p w14:paraId="007A52C7"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Dentro del estudio también participaron comerciantes que manifestaron no pertenecer a ninguno de estos regímenes (NA), los mismos que valoraron las infracciones tributarias en un 35.3% como “de consideración”, un 33.8% como “leve”, un 20.6% como normal y un 10.3% como grave, mostrando así un desconocimiento y falta de información acerca de la gravedad de las infracciones tributarias que existen en el mercado de Lima.</w:t>
      </w:r>
    </w:p>
    <w:p w14:paraId="41D4DBCD" w14:textId="77777777" w:rsidR="008A1537" w:rsidRDefault="008A1537"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p>
    <w:p w14:paraId="6FC63BB0" w14:textId="030A6BC3"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r w:rsidRPr="00E845CC">
        <w:rPr>
          <w:rFonts w:ascii="Times New Roman" w:hAnsi="Times New Roman" w:cs="Times New Roman"/>
          <w:b/>
          <w:bCs/>
          <w:lang w:val="es-PE"/>
        </w:rPr>
        <w:t>Tabla 3</w:t>
      </w:r>
    </w:p>
    <w:p w14:paraId="22ECC3E6"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i/>
          <w:iCs/>
          <w:lang w:val="es-PE"/>
        </w:rPr>
      </w:pPr>
      <w:r w:rsidRPr="00E845CC">
        <w:rPr>
          <w:rFonts w:ascii="Times New Roman" w:hAnsi="Times New Roman" w:cs="Times New Roman"/>
          <w:i/>
          <w:iCs/>
          <w:lang w:val="es-PE"/>
        </w:rPr>
        <w:t>Valoración de las infracciones tributarias según el tiempo en el mercado</w:t>
      </w:r>
    </w:p>
    <w:tbl>
      <w:tblPr>
        <w:tblW w:w="491.85pt" w:type="dxa"/>
        <w:jc w:val="center"/>
        <w:tblCellMar>
          <w:start w:w="3.50pt" w:type="dxa"/>
          <w:end w:w="3.50pt" w:type="dxa"/>
        </w:tblCellMar>
        <w:tblLook w:firstRow="1" w:lastRow="0" w:firstColumn="1" w:lastColumn="0" w:noHBand="0" w:noVBand="1"/>
      </w:tblPr>
      <w:tblGrid>
        <w:gridCol w:w="1029"/>
        <w:gridCol w:w="923"/>
        <w:gridCol w:w="1047"/>
        <w:gridCol w:w="924"/>
        <w:gridCol w:w="1047"/>
        <w:gridCol w:w="924"/>
        <w:gridCol w:w="1047"/>
        <w:gridCol w:w="924"/>
        <w:gridCol w:w="1047"/>
        <w:gridCol w:w="925"/>
      </w:tblGrid>
      <w:tr w:rsidR="00E845CC" w:rsidRPr="008A1537" w14:paraId="1D9F26C1" w14:textId="77777777" w:rsidTr="008A1537">
        <w:trPr>
          <w:trHeight w:val="317"/>
          <w:jc w:val="center"/>
        </w:trPr>
        <w:tc>
          <w:tcPr>
            <w:tcW w:w="121.95pt" w:type="dxa"/>
            <w:gridSpan w:val="2"/>
            <w:vMerge w:val="restart"/>
            <w:tcBorders>
              <w:top w:val="single" w:sz="4" w:space="0" w:color="auto"/>
              <w:start w:val="nil"/>
              <w:bottom w:val="single" w:sz="4" w:space="0" w:color="000000"/>
              <w:end w:val="nil"/>
            </w:tcBorders>
            <w:shd w:val="clear" w:color="auto" w:fill="auto"/>
            <w:vAlign w:val="center"/>
            <w:hideMark/>
          </w:tcPr>
          <w:p w14:paraId="702403A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w:t>
            </w:r>
          </w:p>
        </w:tc>
        <w:tc>
          <w:tcPr>
            <w:tcW w:w="369.90pt" w:type="dxa"/>
            <w:gridSpan w:val="8"/>
            <w:tcBorders>
              <w:top w:val="single" w:sz="4" w:space="0" w:color="auto"/>
              <w:start w:val="nil"/>
              <w:bottom w:val="nil"/>
              <w:end w:val="nil"/>
            </w:tcBorders>
            <w:shd w:val="clear" w:color="auto" w:fill="auto"/>
            <w:vAlign w:val="center"/>
            <w:hideMark/>
          </w:tcPr>
          <w:p w14:paraId="30ADFBB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Infracciones tributarias</w:t>
            </w:r>
          </w:p>
        </w:tc>
      </w:tr>
      <w:tr w:rsidR="00E845CC" w:rsidRPr="008A1537" w14:paraId="1E76DB37" w14:textId="77777777" w:rsidTr="008A1537">
        <w:trPr>
          <w:trHeight w:val="317"/>
          <w:jc w:val="center"/>
        </w:trPr>
        <w:tc>
          <w:tcPr>
            <w:tcW w:w="121.95pt" w:type="dxa"/>
            <w:gridSpan w:val="2"/>
            <w:vMerge/>
            <w:tcBorders>
              <w:top w:val="single" w:sz="4" w:space="0" w:color="auto"/>
              <w:start w:val="nil"/>
              <w:bottom w:val="single" w:sz="4" w:space="0" w:color="000000"/>
              <w:end w:val="nil"/>
            </w:tcBorders>
            <w:vAlign w:val="center"/>
            <w:hideMark/>
          </w:tcPr>
          <w:p w14:paraId="7D9E6A37" w14:textId="77777777" w:rsidR="00E845CC" w:rsidRPr="008A1537" w:rsidRDefault="00E845CC" w:rsidP="008A1537">
            <w:pPr>
              <w:rPr>
                <w:rFonts w:ascii="Times New Roman" w:hAnsi="Times New Roman" w:cs="Times New Roman"/>
              </w:rPr>
            </w:pPr>
          </w:p>
        </w:tc>
        <w:tc>
          <w:tcPr>
            <w:tcW w:w="92.45pt" w:type="dxa"/>
            <w:gridSpan w:val="2"/>
            <w:tcBorders>
              <w:top w:val="single" w:sz="4" w:space="0" w:color="auto"/>
              <w:start w:val="nil"/>
              <w:bottom w:val="single" w:sz="4" w:space="0" w:color="auto"/>
              <w:end w:val="nil"/>
            </w:tcBorders>
            <w:shd w:val="clear" w:color="auto" w:fill="auto"/>
            <w:vAlign w:val="center"/>
            <w:hideMark/>
          </w:tcPr>
          <w:p w14:paraId="415DB15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Normal</w:t>
            </w:r>
          </w:p>
        </w:tc>
        <w:tc>
          <w:tcPr>
            <w:tcW w:w="92.45pt" w:type="dxa"/>
            <w:gridSpan w:val="2"/>
            <w:tcBorders>
              <w:top w:val="single" w:sz="4" w:space="0" w:color="auto"/>
              <w:start w:val="nil"/>
              <w:bottom w:val="single" w:sz="4" w:space="0" w:color="auto"/>
              <w:end w:val="nil"/>
            </w:tcBorders>
            <w:shd w:val="clear" w:color="auto" w:fill="auto"/>
            <w:vAlign w:val="center"/>
            <w:hideMark/>
          </w:tcPr>
          <w:p w14:paraId="4269766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Leve</w:t>
            </w:r>
          </w:p>
        </w:tc>
        <w:tc>
          <w:tcPr>
            <w:tcW w:w="92.45pt" w:type="dxa"/>
            <w:gridSpan w:val="2"/>
            <w:tcBorders>
              <w:top w:val="single" w:sz="4" w:space="0" w:color="auto"/>
              <w:start w:val="nil"/>
              <w:bottom w:val="single" w:sz="4" w:space="0" w:color="auto"/>
              <w:end w:val="nil"/>
            </w:tcBorders>
            <w:shd w:val="clear" w:color="auto" w:fill="auto"/>
            <w:vAlign w:val="center"/>
            <w:hideMark/>
          </w:tcPr>
          <w:p w14:paraId="62F11E4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De consideración</w:t>
            </w:r>
          </w:p>
        </w:tc>
        <w:tc>
          <w:tcPr>
            <w:tcW w:w="92.45pt" w:type="dxa"/>
            <w:gridSpan w:val="2"/>
            <w:tcBorders>
              <w:top w:val="single" w:sz="4" w:space="0" w:color="auto"/>
              <w:start w:val="nil"/>
              <w:bottom w:val="single" w:sz="4" w:space="0" w:color="auto"/>
              <w:end w:val="nil"/>
            </w:tcBorders>
            <w:shd w:val="clear" w:color="auto" w:fill="auto"/>
            <w:vAlign w:val="center"/>
            <w:hideMark/>
          </w:tcPr>
          <w:p w14:paraId="5724164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Grave</w:t>
            </w:r>
          </w:p>
        </w:tc>
      </w:tr>
      <w:tr w:rsidR="00E845CC" w:rsidRPr="008A1537" w14:paraId="23C06422" w14:textId="77777777" w:rsidTr="008A1537">
        <w:trPr>
          <w:trHeight w:val="508"/>
          <w:jc w:val="center"/>
        </w:trPr>
        <w:tc>
          <w:tcPr>
            <w:tcW w:w="121.95pt" w:type="dxa"/>
            <w:gridSpan w:val="2"/>
            <w:vMerge/>
            <w:tcBorders>
              <w:top w:val="single" w:sz="4" w:space="0" w:color="auto"/>
              <w:start w:val="nil"/>
              <w:bottom w:val="single" w:sz="4" w:space="0" w:color="000000"/>
              <w:end w:val="nil"/>
            </w:tcBorders>
            <w:vAlign w:val="center"/>
            <w:hideMark/>
          </w:tcPr>
          <w:p w14:paraId="50C47C69" w14:textId="77777777" w:rsidR="00E845CC" w:rsidRPr="008A1537" w:rsidRDefault="00E845CC" w:rsidP="008A1537">
            <w:pPr>
              <w:rPr>
                <w:rFonts w:ascii="Times New Roman" w:hAnsi="Times New Roman" w:cs="Times New Roman"/>
              </w:rPr>
            </w:pPr>
          </w:p>
        </w:tc>
        <w:tc>
          <w:tcPr>
            <w:tcW w:w="46.20pt" w:type="dxa"/>
            <w:tcBorders>
              <w:top w:val="nil"/>
              <w:start w:val="nil"/>
              <w:bottom w:val="single" w:sz="4" w:space="0" w:color="auto"/>
              <w:end w:val="nil"/>
            </w:tcBorders>
            <w:shd w:val="clear" w:color="auto" w:fill="auto"/>
            <w:vAlign w:val="center"/>
            <w:hideMark/>
          </w:tcPr>
          <w:p w14:paraId="1CE5A12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Recuento</w:t>
            </w:r>
          </w:p>
        </w:tc>
        <w:tc>
          <w:tcPr>
            <w:tcW w:w="46.20pt" w:type="dxa"/>
            <w:tcBorders>
              <w:top w:val="nil"/>
              <w:start w:val="nil"/>
              <w:bottom w:val="single" w:sz="4" w:space="0" w:color="auto"/>
              <w:end w:val="nil"/>
            </w:tcBorders>
            <w:shd w:val="clear" w:color="auto" w:fill="auto"/>
            <w:vAlign w:val="center"/>
            <w:hideMark/>
          </w:tcPr>
          <w:p w14:paraId="306473A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c>
          <w:tcPr>
            <w:tcW w:w="46.20pt" w:type="dxa"/>
            <w:tcBorders>
              <w:top w:val="nil"/>
              <w:start w:val="nil"/>
              <w:bottom w:val="single" w:sz="4" w:space="0" w:color="auto"/>
              <w:end w:val="nil"/>
            </w:tcBorders>
            <w:shd w:val="clear" w:color="auto" w:fill="auto"/>
            <w:vAlign w:val="center"/>
            <w:hideMark/>
          </w:tcPr>
          <w:p w14:paraId="18B53AF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Recuento</w:t>
            </w:r>
          </w:p>
        </w:tc>
        <w:tc>
          <w:tcPr>
            <w:tcW w:w="46.20pt" w:type="dxa"/>
            <w:tcBorders>
              <w:top w:val="nil"/>
              <w:start w:val="nil"/>
              <w:bottom w:val="single" w:sz="4" w:space="0" w:color="auto"/>
              <w:end w:val="nil"/>
            </w:tcBorders>
            <w:shd w:val="clear" w:color="auto" w:fill="auto"/>
            <w:vAlign w:val="center"/>
            <w:hideMark/>
          </w:tcPr>
          <w:p w14:paraId="7BA2D34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c>
          <w:tcPr>
            <w:tcW w:w="46.20pt" w:type="dxa"/>
            <w:tcBorders>
              <w:top w:val="nil"/>
              <w:start w:val="nil"/>
              <w:bottom w:val="single" w:sz="4" w:space="0" w:color="auto"/>
              <w:end w:val="nil"/>
            </w:tcBorders>
            <w:shd w:val="clear" w:color="auto" w:fill="auto"/>
            <w:vAlign w:val="center"/>
            <w:hideMark/>
          </w:tcPr>
          <w:p w14:paraId="3090B06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Recuento</w:t>
            </w:r>
          </w:p>
        </w:tc>
        <w:tc>
          <w:tcPr>
            <w:tcW w:w="46.20pt" w:type="dxa"/>
            <w:tcBorders>
              <w:top w:val="nil"/>
              <w:start w:val="nil"/>
              <w:bottom w:val="single" w:sz="4" w:space="0" w:color="auto"/>
              <w:end w:val="nil"/>
            </w:tcBorders>
            <w:shd w:val="clear" w:color="auto" w:fill="auto"/>
            <w:vAlign w:val="center"/>
            <w:hideMark/>
          </w:tcPr>
          <w:p w14:paraId="39CB1B5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c>
          <w:tcPr>
            <w:tcW w:w="46.20pt" w:type="dxa"/>
            <w:tcBorders>
              <w:top w:val="nil"/>
              <w:start w:val="nil"/>
              <w:bottom w:val="single" w:sz="4" w:space="0" w:color="auto"/>
              <w:end w:val="nil"/>
            </w:tcBorders>
            <w:shd w:val="clear" w:color="auto" w:fill="auto"/>
            <w:vAlign w:val="center"/>
            <w:hideMark/>
          </w:tcPr>
          <w:p w14:paraId="3FE4582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Recuento</w:t>
            </w:r>
          </w:p>
        </w:tc>
        <w:tc>
          <w:tcPr>
            <w:tcW w:w="46.20pt" w:type="dxa"/>
            <w:tcBorders>
              <w:top w:val="nil"/>
              <w:start w:val="nil"/>
              <w:bottom w:val="single" w:sz="4" w:space="0" w:color="auto"/>
              <w:end w:val="nil"/>
            </w:tcBorders>
            <w:shd w:val="clear" w:color="auto" w:fill="auto"/>
            <w:vAlign w:val="center"/>
            <w:hideMark/>
          </w:tcPr>
          <w:p w14:paraId="3616CCE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r>
      <w:tr w:rsidR="00E845CC" w:rsidRPr="008A1537" w14:paraId="0D246DA0" w14:textId="77777777" w:rsidTr="008A1537">
        <w:trPr>
          <w:trHeight w:val="317"/>
          <w:jc w:val="center"/>
        </w:trPr>
        <w:tc>
          <w:tcPr>
            <w:tcW w:w="55.05pt" w:type="dxa"/>
            <w:vMerge w:val="restart"/>
            <w:tcBorders>
              <w:top w:val="nil"/>
              <w:start w:val="nil"/>
              <w:bottom w:val="single" w:sz="4" w:space="0" w:color="000000"/>
              <w:end w:val="nil"/>
            </w:tcBorders>
            <w:shd w:val="clear" w:color="auto" w:fill="auto"/>
            <w:vAlign w:val="center"/>
            <w:hideMark/>
          </w:tcPr>
          <w:p w14:paraId="26CE437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Tiempo en el mercado</w:t>
            </w:r>
          </w:p>
        </w:tc>
        <w:tc>
          <w:tcPr>
            <w:tcW w:w="66.85pt" w:type="dxa"/>
            <w:tcBorders>
              <w:top w:val="nil"/>
              <w:start w:val="nil"/>
              <w:bottom w:val="nil"/>
              <w:end w:val="nil"/>
            </w:tcBorders>
            <w:shd w:val="clear" w:color="auto" w:fill="auto"/>
            <w:vAlign w:val="center"/>
            <w:hideMark/>
          </w:tcPr>
          <w:p w14:paraId="52001C2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 a 2 años</w:t>
            </w:r>
          </w:p>
        </w:tc>
        <w:tc>
          <w:tcPr>
            <w:tcW w:w="46.20pt" w:type="dxa"/>
            <w:tcBorders>
              <w:top w:val="nil"/>
              <w:start w:val="nil"/>
              <w:bottom w:val="nil"/>
              <w:end w:val="nil"/>
            </w:tcBorders>
            <w:shd w:val="clear" w:color="auto" w:fill="auto"/>
            <w:noWrap/>
            <w:vAlign w:val="center"/>
            <w:hideMark/>
          </w:tcPr>
          <w:p w14:paraId="6943F24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15</w:t>
            </w:r>
          </w:p>
        </w:tc>
        <w:tc>
          <w:tcPr>
            <w:tcW w:w="46.20pt" w:type="dxa"/>
            <w:tcBorders>
              <w:top w:val="nil"/>
              <w:start w:val="nil"/>
              <w:bottom w:val="nil"/>
              <w:end w:val="nil"/>
            </w:tcBorders>
            <w:shd w:val="clear" w:color="auto" w:fill="auto"/>
            <w:noWrap/>
            <w:vAlign w:val="center"/>
            <w:hideMark/>
          </w:tcPr>
          <w:p w14:paraId="6EB29B4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30.0%</w:t>
            </w:r>
          </w:p>
        </w:tc>
        <w:tc>
          <w:tcPr>
            <w:tcW w:w="46.20pt" w:type="dxa"/>
            <w:tcBorders>
              <w:top w:val="nil"/>
              <w:start w:val="nil"/>
              <w:bottom w:val="nil"/>
              <w:end w:val="nil"/>
            </w:tcBorders>
            <w:shd w:val="clear" w:color="auto" w:fill="auto"/>
            <w:noWrap/>
            <w:vAlign w:val="center"/>
            <w:hideMark/>
          </w:tcPr>
          <w:p w14:paraId="54FB0A6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14</w:t>
            </w:r>
          </w:p>
        </w:tc>
        <w:tc>
          <w:tcPr>
            <w:tcW w:w="46.20pt" w:type="dxa"/>
            <w:tcBorders>
              <w:top w:val="nil"/>
              <w:start w:val="nil"/>
              <w:bottom w:val="nil"/>
              <w:end w:val="nil"/>
            </w:tcBorders>
            <w:shd w:val="clear" w:color="auto" w:fill="auto"/>
            <w:noWrap/>
            <w:vAlign w:val="center"/>
            <w:hideMark/>
          </w:tcPr>
          <w:p w14:paraId="3DCB83D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28.0%</w:t>
            </w:r>
          </w:p>
        </w:tc>
        <w:tc>
          <w:tcPr>
            <w:tcW w:w="46.20pt" w:type="dxa"/>
            <w:tcBorders>
              <w:top w:val="nil"/>
              <w:start w:val="nil"/>
              <w:bottom w:val="nil"/>
              <w:end w:val="nil"/>
            </w:tcBorders>
            <w:shd w:val="clear" w:color="auto" w:fill="auto"/>
            <w:noWrap/>
            <w:vAlign w:val="center"/>
            <w:hideMark/>
          </w:tcPr>
          <w:p w14:paraId="438C8D5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14</w:t>
            </w:r>
          </w:p>
        </w:tc>
        <w:tc>
          <w:tcPr>
            <w:tcW w:w="46.20pt" w:type="dxa"/>
            <w:tcBorders>
              <w:top w:val="nil"/>
              <w:start w:val="nil"/>
              <w:bottom w:val="nil"/>
              <w:end w:val="nil"/>
            </w:tcBorders>
            <w:shd w:val="clear" w:color="auto" w:fill="auto"/>
            <w:noWrap/>
            <w:vAlign w:val="center"/>
            <w:hideMark/>
          </w:tcPr>
          <w:p w14:paraId="0217271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28.0%</w:t>
            </w:r>
          </w:p>
        </w:tc>
        <w:tc>
          <w:tcPr>
            <w:tcW w:w="46.20pt" w:type="dxa"/>
            <w:tcBorders>
              <w:top w:val="nil"/>
              <w:start w:val="nil"/>
              <w:bottom w:val="nil"/>
              <w:end w:val="nil"/>
            </w:tcBorders>
            <w:shd w:val="clear" w:color="auto" w:fill="auto"/>
            <w:noWrap/>
            <w:vAlign w:val="center"/>
            <w:hideMark/>
          </w:tcPr>
          <w:p w14:paraId="4D4340B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w:t>
            </w:r>
          </w:p>
        </w:tc>
        <w:tc>
          <w:tcPr>
            <w:tcW w:w="46.20pt" w:type="dxa"/>
            <w:tcBorders>
              <w:top w:val="nil"/>
              <w:start w:val="nil"/>
              <w:bottom w:val="nil"/>
              <w:end w:val="nil"/>
            </w:tcBorders>
            <w:shd w:val="clear" w:color="auto" w:fill="auto"/>
            <w:noWrap/>
            <w:vAlign w:val="center"/>
            <w:hideMark/>
          </w:tcPr>
          <w:p w14:paraId="2816C8D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14.0%</w:t>
            </w:r>
          </w:p>
        </w:tc>
      </w:tr>
      <w:tr w:rsidR="00E845CC" w:rsidRPr="008A1537" w14:paraId="45CDF68A" w14:textId="77777777" w:rsidTr="008A1537">
        <w:trPr>
          <w:trHeight w:val="317"/>
          <w:jc w:val="center"/>
        </w:trPr>
        <w:tc>
          <w:tcPr>
            <w:tcW w:w="55.05pt" w:type="dxa"/>
            <w:vMerge/>
            <w:tcBorders>
              <w:top w:val="nil"/>
              <w:start w:val="nil"/>
              <w:bottom w:val="single" w:sz="4" w:space="0" w:color="000000"/>
              <w:end w:val="nil"/>
            </w:tcBorders>
            <w:vAlign w:val="center"/>
            <w:hideMark/>
          </w:tcPr>
          <w:p w14:paraId="498E5476" w14:textId="77777777" w:rsidR="00E845CC" w:rsidRPr="008A1537" w:rsidRDefault="00E845CC" w:rsidP="008A1537">
            <w:pPr>
              <w:rPr>
                <w:rFonts w:ascii="Times New Roman" w:hAnsi="Times New Roman" w:cs="Times New Roman"/>
              </w:rPr>
            </w:pPr>
          </w:p>
        </w:tc>
        <w:tc>
          <w:tcPr>
            <w:tcW w:w="66.85pt" w:type="dxa"/>
            <w:tcBorders>
              <w:top w:val="nil"/>
              <w:start w:val="nil"/>
              <w:bottom w:val="nil"/>
              <w:end w:val="nil"/>
            </w:tcBorders>
            <w:shd w:val="clear" w:color="auto" w:fill="auto"/>
            <w:vAlign w:val="center"/>
            <w:hideMark/>
          </w:tcPr>
          <w:p w14:paraId="744B1BB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 a 4 años</w:t>
            </w:r>
          </w:p>
        </w:tc>
        <w:tc>
          <w:tcPr>
            <w:tcW w:w="46.20pt" w:type="dxa"/>
            <w:tcBorders>
              <w:top w:val="nil"/>
              <w:start w:val="nil"/>
              <w:bottom w:val="nil"/>
              <w:end w:val="nil"/>
            </w:tcBorders>
            <w:shd w:val="clear" w:color="auto" w:fill="auto"/>
            <w:noWrap/>
            <w:vAlign w:val="center"/>
            <w:hideMark/>
          </w:tcPr>
          <w:p w14:paraId="0072339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19</w:t>
            </w:r>
          </w:p>
        </w:tc>
        <w:tc>
          <w:tcPr>
            <w:tcW w:w="46.20pt" w:type="dxa"/>
            <w:tcBorders>
              <w:top w:val="nil"/>
              <w:start w:val="nil"/>
              <w:bottom w:val="nil"/>
              <w:end w:val="nil"/>
            </w:tcBorders>
            <w:shd w:val="clear" w:color="auto" w:fill="auto"/>
            <w:noWrap/>
            <w:vAlign w:val="center"/>
            <w:hideMark/>
          </w:tcPr>
          <w:p w14:paraId="3830E24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19.0%</w:t>
            </w:r>
          </w:p>
        </w:tc>
        <w:tc>
          <w:tcPr>
            <w:tcW w:w="46.20pt" w:type="dxa"/>
            <w:tcBorders>
              <w:top w:val="nil"/>
              <w:start w:val="nil"/>
              <w:bottom w:val="nil"/>
              <w:end w:val="nil"/>
            </w:tcBorders>
            <w:shd w:val="clear" w:color="auto" w:fill="auto"/>
            <w:noWrap/>
            <w:vAlign w:val="center"/>
            <w:hideMark/>
          </w:tcPr>
          <w:p w14:paraId="46654B6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21</w:t>
            </w:r>
          </w:p>
        </w:tc>
        <w:tc>
          <w:tcPr>
            <w:tcW w:w="46.20pt" w:type="dxa"/>
            <w:tcBorders>
              <w:top w:val="nil"/>
              <w:start w:val="nil"/>
              <w:bottom w:val="nil"/>
              <w:end w:val="nil"/>
            </w:tcBorders>
            <w:shd w:val="clear" w:color="auto" w:fill="auto"/>
            <w:noWrap/>
            <w:vAlign w:val="center"/>
            <w:hideMark/>
          </w:tcPr>
          <w:p w14:paraId="370BA28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21.0%</w:t>
            </w:r>
          </w:p>
        </w:tc>
        <w:tc>
          <w:tcPr>
            <w:tcW w:w="46.20pt" w:type="dxa"/>
            <w:tcBorders>
              <w:top w:val="nil"/>
              <w:start w:val="nil"/>
              <w:bottom w:val="nil"/>
              <w:end w:val="nil"/>
            </w:tcBorders>
            <w:shd w:val="clear" w:color="auto" w:fill="auto"/>
            <w:noWrap/>
            <w:vAlign w:val="center"/>
            <w:hideMark/>
          </w:tcPr>
          <w:p w14:paraId="5466567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32</w:t>
            </w:r>
          </w:p>
        </w:tc>
        <w:tc>
          <w:tcPr>
            <w:tcW w:w="46.20pt" w:type="dxa"/>
            <w:tcBorders>
              <w:top w:val="nil"/>
              <w:start w:val="nil"/>
              <w:bottom w:val="nil"/>
              <w:end w:val="nil"/>
            </w:tcBorders>
            <w:shd w:val="clear" w:color="auto" w:fill="auto"/>
            <w:noWrap/>
            <w:vAlign w:val="center"/>
            <w:hideMark/>
          </w:tcPr>
          <w:p w14:paraId="75106CD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32.0%</w:t>
            </w:r>
          </w:p>
        </w:tc>
        <w:tc>
          <w:tcPr>
            <w:tcW w:w="46.20pt" w:type="dxa"/>
            <w:tcBorders>
              <w:top w:val="nil"/>
              <w:start w:val="nil"/>
              <w:bottom w:val="nil"/>
              <w:end w:val="nil"/>
            </w:tcBorders>
            <w:shd w:val="clear" w:color="auto" w:fill="auto"/>
            <w:noWrap/>
            <w:vAlign w:val="center"/>
            <w:hideMark/>
          </w:tcPr>
          <w:p w14:paraId="122BA0B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28</w:t>
            </w:r>
          </w:p>
        </w:tc>
        <w:tc>
          <w:tcPr>
            <w:tcW w:w="46.20pt" w:type="dxa"/>
            <w:tcBorders>
              <w:top w:val="nil"/>
              <w:start w:val="nil"/>
              <w:bottom w:val="nil"/>
              <w:end w:val="nil"/>
            </w:tcBorders>
            <w:shd w:val="clear" w:color="auto" w:fill="auto"/>
            <w:noWrap/>
            <w:vAlign w:val="center"/>
            <w:hideMark/>
          </w:tcPr>
          <w:p w14:paraId="2EC139A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28.0%</w:t>
            </w:r>
          </w:p>
        </w:tc>
      </w:tr>
      <w:tr w:rsidR="00E845CC" w:rsidRPr="008A1537" w14:paraId="4C8E51E9" w14:textId="77777777" w:rsidTr="008A1537">
        <w:trPr>
          <w:trHeight w:val="317"/>
          <w:jc w:val="center"/>
        </w:trPr>
        <w:tc>
          <w:tcPr>
            <w:tcW w:w="55.05pt" w:type="dxa"/>
            <w:vMerge/>
            <w:tcBorders>
              <w:top w:val="nil"/>
              <w:start w:val="nil"/>
              <w:bottom w:val="single" w:sz="4" w:space="0" w:color="000000"/>
              <w:end w:val="nil"/>
            </w:tcBorders>
            <w:vAlign w:val="center"/>
            <w:hideMark/>
          </w:tcPr>
          <w:p w14:paraId="0977E66D" w14:textId="77777777" w:rsidR="00E845CC" w:rsidRPr="008A1537" w:rsidRDefault="00E845CC" w:rsidP="008A1537">
            <w:pPr>
              <w:rPr>
                <w:rFonts w:ascii="Times New Roman" w:hAnsi="Times New Roman" w:cs="Times New Roman"/>
              </w:rPr>
            </w:pPr>
          </w:p>
        </w:tc>
        <w:tc>
          <w:tcPr>
            <w:tcW w:w="66.85pt" w:type="dxa"/>
            <w:tcBorders>
              <w:top w:val="nil"/>
              <w:start w:val="nil"/>
              <w:bottom w:val="nil"/>
              <w:end w:val="nil"/>
            </w:tcBorders>
            <w:shd w:val="clear" w:color="auto" w:fill="auto"/>
            <w:vAlign w:val="center"/>
            <w:hideMark/>
          </w:tcPr>
          <w:p w14:paraId="57CF925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 a 6 años</w:t>
            </w:r>
          </w:p>
        </w:tc>
        <w:tc>
          <w:tcPr>
            <w:tcW w:w="46.20pt" w:type="dxa"/>
            <w:tcBorders>
              <w:top w:val="nil"/>
              <w:start w:val="nil"/>
              <w:bottom w:val="nil"/>
              <w:end w:val="nil"/>
            </w:tcBorders>
            <w:shd w:val="clear" w:color="auto" w:fill="auto"/>
            <w:noWrap/>
            <w:vAlign w:val="center"/>
            <w:hideMark/>
          </w:tcPr>
          <w:p w14:paraId="512E6DB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w:t>
            </w:r>
          </w:p>
        </w:tc>
        <w:tc>
          <w:tcPr>
            <w:tcW w:w="46.20pt" w:type="dxa"/>
            <w:tcBorders>
              <w:top w:val="nil"/>
              <w:start w:val="nil"/>
              <w:bottom w:val="nil"/>
              <w:end w:val="nil"/>
            </w:tcBorders>
            <w:shd w:val="clear" w:color="auto" w:fill="auto"/>
            <w:noWrap/>
            <w:vAlign w:val="center"/>
            <w:hideMark/>
          </w:tcPr>
          <w:p w14:paraId="7D3422A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4.3%</w:t>
            </w:r>
          </w:p>
        </w:tc>
        <w:tc>
          <w:tcPr>
            <w:tcW w:w="46.20pt" w:type="dxa"/>
            <w:tcBorders>
              <w:top w:val="nil"/>
              <w:start w:val="nil"/>
              <w:bottom w:val="nil"/>
              <w:end w:val="nil"/>
            </w:tcBorders>
            <w:shd w:val="clear" w:color="auto" w:fill="auto"/>
            <w:noWrap/>
            <w:vAlign w:val="center"/>
            <w:hideMark/>
          </w:tcPr>
          <w:p w14:paraId="54234A3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13</w:t>
            </w:r>
          </w:p>
        </w:tc>
        <w:tc>
          <w:tcPr>
            <w:tcW w:w="46.20pt" w:type="dxa"/>
            <w:tcBorders>
              <w:top w:val="nil"/>
              <w:start w:val="nil"/>
              <w:bottom w:val="nil"/>
              <w:end w:val="nil"/>
            </w:tcBorders>
            <w:shd w:val="clear" w:color="auto" w:fill="auto"/>
            <w:noWrap/>
            <w:vAlign w:val="center"/>
            <w:hideMark/>
          </w:tcPr>
          <w:p w14:paraId="68E24A0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11.2%</w:t>
            </w:r>
          </w:p>
        </w:tc>
        <w:tc>
          <w:tcPr>
            <w:tcW w:w="46.20pt" w:type="dxa"/>
            <w:tcBorders>
              <w:top w:val="nil"/>
              <w:start w:val="nil"/>
              <w:bottom w:val="nil"/>
              <w:end w:val="nil"/>
            </w:tcBorders>
            <w:shd w:val="clear" w:color="auto" w:fill="auto"/>
            <w:noWrap/>
            <w:vAlign w:val="center"/>
            <w:hideMark/>
          </w:tcPr>
          <w:p w14:paraId="4C3F2E5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31</w:t>
            </w:r>
          </w:p>
        </w:tc>
        <w:tc>
          <w:tcPr>
            <w:tcW w:w="46.20pt" w:type="dxa"/>
            <w:tcBorders>
              <w:top w:val="nil"/>
              <w:start w:val="nil"/>
              <w:bottom w:val="nil"/>
              <w:end w:val="nil"/>
            </w:tcBorders>
            <w:shd w:val="clear" w:color="auto" w:fill="auto"/>
            <w:noWrap/>
            <w:vAlign w:val="center"/>
            <w:hideMark/>
          </w:tcPr>
          <w:p w14:paraId="2EE2594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26.7%</w:t>
            </w:r>
          </w:p>
        </w:tc>
        <w:tc>
          <w:tcPr>
            <w:tcW w:w="46.20pt" w:type="dxa"/>
            <w:tcBorders>
              <w:top w:val="nil"/>
              <w:start w:val="nil"/>
              <w:bottom w:val="nil"/>
              <w:end w:val="nil"/>
            </w:tcBorders>
            <w:shd w:val="clear" w:color="auto" w:fill="auto"/>
            <w:noWrap/>
            <w:vAlign w:val="center"/>
            <w:hideMark/>
          </w:tcPr>
          <w:p w14:paraId="3C87310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67</w:t>
            </w:r>
          </w:p>
        </w:tc>
        <w:tc>
          <w:tcPr>
            <w:tcW w:w="46.20pt" w:type="dxa"/>
            <w:tcBorders>
              <w:top w:val="nil"/>
              <w:start w:val="nil"/>
              <w:bottom w:val="nil"/>
              <w:end w:val="nil"/>
            </w:tcBorders>
            <w:shd w:val="clear" w:color="auto" w:fill="auto"/>
            <w:noWrap/>
            <w:vAlign w:val="center"/>
            <w:hideMark/>
          </w:tcPr>
          <w:p w14:paraId="2970197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57.8%</w:t>
            </w:r>
          </w:p>
        </w:tc>
      </w:tr>
      <w:tr w:rsidR="00E845CC" w:rsidRPr="008A1537" w14:paraId="6C2BED8A" w14:textId="77777777" w:rsidTr="008A1537">
        <w:trPr>
          <w:trHeight w:val="508"/>
          <w:jc w:val="center"/>
        </w:trPr>
        <w:tc>
          <w:tcPr>
            <w:tcW w:w="55.05pt" w:type="dxa"/>
            <w:vMerge/>
            <w:tcBorders>
              <w:top w:val="nil"/>
              <w:start w:val="nil"/>
              <w:bottom w:val="single" w:sz="4" w:space="0" w:color="000000"/>
              <w:end w:val="nil"/>
            </w:tcBorders>
            <w:vAlign w:val="center"/>
            <w:hideMark/>
          </w:tcPr>
          <w:p w14:paraId="0AE92367" w14:textId="77777777" w:rsidR="00E845CC" w:rsidRPr="008A1537" w:rsidRDefault="00E845CC" w:rsidP="008A1537">
            <w:pPr>
              <w:rPr>
                <w:rFonts w:ascii="Times New Roman" w:hAnsi="Times New Roman" w:cs="Times New Roman"/>
              </w:rPr>
            </w:pPr>
          </w:p>
        </w:tc>
        <w:tc>
          <w:tcPr>
            <w:tcW w:w="66.85pt" w:type="dxa"/>
            <w:tcBorders>
              <w:top w:val="nil"/>
              <w:start w:val="nil"/>
              <w:bottom w:val="single" w:sz="4" w:space="0" w:color="auto"/>
              <w:end w:val="nil"/>
            </w:tcBorders>
            <w:shd w:val="clear" w:color="auto" w:fill="auto"/>
            <w:vAlign w:val="center"/>
            <w:hideMark/>
          </w:tcPr>
          <w:p w14:paraId="2CFFCC0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De 7 años a más</w:t>
            </w:r>
          </w:p>
        </w:tc>
        <w:tc>
          <w:tcPr>
            <w:tcW w:w="46.20pt" w:type="dxa"/>
            <w:tcBorders>
              <w:top w:val="nil"/>
              <w:start w:val="nil"/>
              <w:bottom w:val="single" w:sz="4" w:space="0" w:color="auto"/>
              <w:end w:val="nil"/>
            </w:tcBorders>
            <w:shd w:val="clear" w:color="auto" w:fill="auto"/>
            <w:noWrap/>
            <w:vAlign w:val="center"/>
            <w:hideMark/>
          </w:tcPr>
          <w:p w14:paraId="6C432FC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w:t>
            </w:r>
          </w:p>
        </w:tc>
        <w:tc>
          <w:tcPr>
            <w:tcW w:w="46.20pt" w:type="dxa"/>
            <w:tcBorders>
              <w:top w:val="nil"/>
              <w:start w:val="nil"/>
              <w:bottom w:val="single" w:sz="4" w:space="0" w:color="auto"/>
              <w:end w:val="nil"/>
            </w:tcBorders>
            <w:shd w:val="clear" w:color="auto" w:fill="auto"/>
            <w:noWrap/>
            <w:vAlign w:val="center"/>
            <w:hideMark/>
          </w:tcPr>
          <w:p w14:paraId="688D2CE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6.0%</w:t>
            </w:r>
          </w:p>
        </w:tc>
        <w:tc>
          <w:tcPr>
            <w:tcW w:w="46.20pt" w:type="dxa"/>
            <w:tcBorders>
              <w:top w:val="nil"/>
              <w:start w:val="nil"/>
              <w:bottom w:val="single" w:sz="4" w:space="0" w:color="auto"/>
              <w:end w:val="nil"/>
            </w:tcBorders>
            <w:shd w:val="clear" w:color="auto" w:fill="auto"/>
            <w:noWrap/>
            <w:vAlign w:val="center"/>
            <w:hideMark/>
          </w:tcPr>
          <w:p w14:paraId="0B006F9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15</w:t>
            </w:r>
          </w:p>
        </w:tc>
        <w:tc>
          <w:tcPr>
            <w:tcW w:w="46.20pt" w:type="dxa"/>
            <w:tcBorders>
              <w:top w:val="nil"/>
              <w:start w:val="nil"/>
              <w:bottom w:val="single" w:sz="4" w:space="0" w:color="auto"/>
              <w:end w:val="nil"/>
            </w:tcBorders>
            <w:shd w:val="clear" w:color="auto" w:fill="auto"/>
            <w:noWrap/>
            <w:vAlign w:val="center"/>
            <w:hideMark/>
          </w:tcPr>
          <w:p w14:paraId="2AC4B26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17.9%</w:t>
            </w:r>
          </w:p>
        </w:tc>
        <w:tc>
          <w:tcPr>
            <w:tcW w:w="46.20pt" w:type="dxa"/>
            <w:tcBorders>
              <w:top w:val="nil"/>
              <w:start w:val="nil"/>
              <w:bottom w:val="single" w:sz="4" w:space="0" w:color="auto"/>
              <w:end w:val="nil"/>
            </w:tcBorders>
            <w:shd w:val="clear" w:color="auto" w:fill="auto"/>
            <w:noWrap/>
            <w:vAlign w:val="center"/>
            <w:hideMark/>
          </w:tcPr>
          <w:p w14:paraId="56FC805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18</w:t>
            </w:r>
          </w:p>
        </w:tc>
        <w:tc>
          <w:tcPr>
            <w:tcW w:w="46.20pt" w:type="dxa"/>
            <w:tcBorders>
              <w:top w:val="nil"/>
              <w:start w:val="nil"/>
              <w:bottom w:val="single" w:sz="4" w:space="0" w:color="auto"/>
              <w:end w:val="nil"/>
            </w:tcBorders>
            <w:shd w:val="clear" w:color="auto" w:fill="auto"/>
            <w:noWrap/>
            <w:vAlign w:val="center"/>
            <w:hideMark/>
          </w:tcPr>
          <w:p w14:paraId="2FD3830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21.4%</w:t>
            </w:r>
          </w:p>
        </w:tc>
        <w:tc>
          <w:tcPr>
            <w:tcW w:w="46.20pt" w:type="dxa"/>
            <w:tcBorders>
              <w:top w:val="nil"/>
              <w:start w:val="nil"/>
              <w:bottom w:val="single" w:sz="4" w:space="0" w:color="auto"/>
              <w:end w:val="nil"/>
            </w:tcBorders>
            <w:shd w:val="clear" w:color="auto" w:fill="auto"/>
            <w:noWrap/>
            <w:vAlign w:val="center"/>
            <w:hideMark/>
          </w:tcPr>
          <w:p w14:paraId="6056C16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46</w:t>
            </w:r>
          </w:p>
        </w:tc>
        <w:tc>
          <w:tcPr>
            <w:tcW w:w="46.20pt" w:type="dxa"/>
            <w:tcBorders>
              <w:top w:val="nil"/>
              <w:start w:val="nil"/>
              <w:bottom w:val="single" w:sz="4" w:space="0" w:color="auto"/>
              <w:end w:val="nil"/>
            </w:tcBorders>
            <w:shd w:val="clear" w:color="auto" w:fill="auto"/>
            <w:noWrap/>
            <w:vAlign w:val="center"/>
            <w:hideMark/>
          </w:tcPr>
          <w:p w14:paraId="7B46F4D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54.8%</w:t>
            </w:r>
          </w:p>
        </w:tc>
      </w:tr>
    </w:tbl>
    <w:p w14:paraId="6C44B6B3"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p>
    <w:p w14:paraId="2321DCB4"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Según la Tabla 3, las infracciones tributarias según el tiempo en el mercado son valoradas de la siguiente manera: para los comerciantes que tienen hasta 2 años, un porcentaje del 30% “Normal”, 28% “leve”, 28% “de consideración” y 14% como algo “grave”. En el caso de los comerciantes que tienen entre 3 y 4 años de tiempo en el mercado, se puede observar las infracciones tributarias con un porcentaje de 32% “de consideración”, 28% que consideran las faltas como “grave”, 21%  las consideran “leve” y un 19% como “normal”. Para los comerciantes que tienen entre 5 y 6 años de tiempo en el mercado, se puede observar las infracciones tributarias con porcentaje, en su mayoría (57.8%) “grave”. Y por último para aquellos comerciantes que tienen de 7 años a más, tiempo en el mercado, se puede observar las infracciones tributarias con porcentaje, en su mayoría (54.8%), también consideran que son “grave”.</w:t>
      </w:r>
    </w:p>
    <w:p w14:paraId="651C999D"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r w:rsidRPr="00E845CC">
        <w:rPr>
          <w:rFonts w:ascii="Times New Roman" w:hAnsi="Times New Roman" w:cs="Times New Roman"/>
          <w:b/>
          <w:bCs/>
          <w:lang w:val="es-PE"/>
        </w:rPr>
        <w:t>Tabla 4</w:t>
      </w:r>
    </w:p>
    <w:p w14:paraId="153E0D08"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i/>
          <w:iCs/>
          <w:lang w:val="es-PE"/>
        </w:rPr>
      </w:pPr>
      <w:r w:rsidRPr="00E845CC">
        <w:rPr>
          <w:rFonts w:ascii="Times New Roman" w:hAnsi="Times New Roman" w:cs="Times New Roman"/>
          <w:i/>
          <w:iCs/>
          <w:lang w:val="es-PE"/>
        </w:rPr>
        <w:t>Frecuencias de la valoración de las infracciones tributarias</w:t>
      </w:r>
    </w:p>
    <w:tbl>
      <w:tblPr>
        <w:tblW w:w="421.20pt" w:type="dxa"/>
        <w:tblCellMar>
          <w:start w:w="3.50pt" w:type="dxa"/>
          <w:end w:w="3.50pt" w:type="dxa"/>
        </w:tblCellMar>
        <w:tblLook w:firstRow="1" w:lastRow="0" w:firstColumn="1" w:lastColumn="0" w:noHBand="0" w:noVBand="1"/>
      </w:tblPr>
      <w:tblGrid>
        <w:gridCol w:w="2696"/>
        <w:gridCol w:w="1555"/>
        <w:gridCol w:w="1555"/>
        <w:gridCol w:w="2618"/>
      </w:tblGrid>
      <w:tr w:rsidR="00E845CC" w:rsidRPr="008A1537" w14:paraId="69F7D778" w14:textId="77777777" w:rsidTr="00E845CC">
        <w:trPr>
          <w:trHeight w:val="415"/>
        </w:trPr>
        <w:tc>
          <w:tcPr>
            <w:tcW w:w="134.80pt" w:type="dxa"/>
            <w:tcBorders>
              <w:top w:val="single" w:sz="4" w:space="0" w:color="auto"/>
              <w:start w:val="nil"/>
              <w:bottom w:val="nil"/>
              <w:end w:val="nil"/>
            </w:tcBorders>
            <w:shd w:val="clear" w:color="auto" w:fill="auto"/>
            <w:vAlign w:val="bottom"/>
            <w:hideMark/>
          </w:tcPr>
          <w:p w14:paraId="08869C1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Infracciones tributarias</w:t>
            </w:r>
          </w:p>
        </w:tc>
        <w:tc>
          <w:tcPr>
            <w:tcW w:w="77.75pt" w:type="dxa"/>
            <w:tcBorders>
              <w:top w:val="single" w:sz="4" w:space="0" w:color="auto"/>
              <w:start w:val="nil"/>
              <w:bottom w:val="nil"/>
              <w:end w:val="nil"/>
            </w:tcBorders>
            <w:shd w:val="clear" w:color="auto" w:fill="auto"/>
            <w:vAlign w:val="bottom"/>
            <w:hideMark/>
          </w:tcPr>
          <w:p w14:paraId="2F1EC9F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Frecuencia</w:t>
            </w:r>
          </w:p>
        </w:tc>
        <w:tc>
          <w:tcPr>
            <w:tcW w:w="77.75pt" w:type="dxa"/>
            <w:tcBorders>
              <w:top w:val="single" w:sz="4" w:space="0" w:color="auto"/>
              <w:start w:val="nil"/>
              <w:bottom w:val="nil"/>
              <w:end w:val="nil"/>
            </w:tcBorders>
            <w:shd w:val="clear" w:color="auto" w:fill="auto"/>
            <w:vAlign w:val="bottom"/>
            <w:hideMark/>
          </w:tcPr>
          <w:p w14:paraId="4B36D7A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Porcentaje</w:t>
            </w:r>
          </w:p>
        </w:tc>
        <w:tc>
          <w:tcPr>
            <w:tcW w:w="130.90pt" w:type="dxa"/>
            <w:tcBorders>
              <w:top w:val="single" w:sz="4" w:space="0" w:color="auto"/>
              <w:start w:val="nil"/>
              <w:bottom w:val="nil"/>
              <w:end w:val="nil"/>
            </w:tcBorders>
            <w:shd w:val="clear" w:color="auto" w:fill="auto"/>
            <w:vAlign w:val="bottom"/>
            <w:hideMark/>
          </w:tcPr>
          <w:p w14:paraId="11FB1F9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Porcentaje acumulado</w:t>
            </w:r>
          </w:p>
        </w:tc>
      </w:tr>
      <w:tr w:rsidR="00E845CC" w:rsidRPr="008A1537" w14:paraId="516B329C" w14:textId="77777777" w:rsidTr="00E845CC">
        <w:trPr>
          <w:trHeight w:val="415"/>
        </w:trPr>
        <w:tc>
          <w:tcPr>
            <w:tcW w:w="134.80pt" w:type="dxa"/>
            <w:tcBorders>
              <w:top w:val="single" w:sz="4" w:space="0" w:color="auto"/>
              <w:start w:val="nil"/>
              <w:bottom w:val="nil"/>
              <w:end w:val="nil"/>
            </w:tcBorders>
            <w:shd w:val="clear" w:color="auto" w:fill="auto"/>
            <w:hideMark/>
          </w:tcPr>
          <w:p w14:paraId="6411FAD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Normal</w:t>
            </w:r>
          </w:p>
        </w:tc>
        <w:tc>
          <w:tcPr>
            <w:tcW w:w="77.75pt" w:type="dxa"/>
            <w:tcBorders>
              <w:top w:val="single" w:sz="4" w:space="0" w:color="auto"/>
              <w:start w:val="nil"/>
              <w:bottom w:val="nil"/>
              <w:end w:val="nil"/>
            </w:tcBorders>
            <w:shd w:val="clear" w:color="auto" w:fill="auto"/>
            <w:noWrap/>
            <w:hideMark/>
          </w:tcPr>
          <w:p w14:paraId="20D1320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44</w:t>
            </w:r>
          </w:p>
        </w:tc>
        <w:tc>
          <w:tcPr>
            <w:tcW w:w="77.75pt" w:type="dxa"/>
            <w:tcBorders>
              <w:top w:val="single" w:sz="4" w:space="0" w:color="auto"/>
              <w:start w:val="nil"/>
              <w:bottom w:val="nil"/>
              <w:end w:val="nil"/>
            </w:tcBorders>
            <w:shd w:val="clear" w:color="auto" w:fill="auto"/>
            <w:noWrap/>
            <w:hideMark/>
          </w:tcPr>
          <w:p w14:paraId="1478C5D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12.6%</w:t>
            </w:r>
          </w:p>
        </w:tc>
        <w:tc>
          <w:tcPr>
            <w:tcW w:w="130.90pt" w:type="dxa"/>
            <w:tcBorders>
              <w:top w:val="single" w:sz="4" w:space="0" w:color="auto"/>
              <w:start w:val="nil"/>
              <w:bottom w:val="nil"/>
              <w:end w:val="nil"/>
            </w:tcBorders>
            <w:shd w:val="clear" w:color="auto" w:fill="auto"/>
            <w:noWrap/>
            <w:hideMark/>
          </w:tcPr>
          <w:p w14:paraId="784A31F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12.6</w:t>
            </w:r>
          </w:p>
        </w:tc>
      </w:tr>
      <w:tr w:rsidR="00E845CC" w:rsidRPr="008A1537" w14:paraId="164157B3" w14:textId="77777777" w:rsidTr="00E845CC">
        <w:trPr>
          <w:trHeight w:val="415"/>
        </w:trPr>
        <w:tc>
          <w:tcPr>
            <w:tcW w:w="134.80pt" w:type="dxa"/>
            <w:tcBorders>
              <w:top w:val="nil"/>
              <w:start w:val="nil"/>
              <w:bottom w:val="nil"/>
              <w:end w:val="nil"/>
            </w:tcBorders>
            <w:shd w:val="clear" w:color="auto" w:fill="auto"/>
            <w:hideMark/>
          </w:tcPr>
          <w:p w14:paraId="188163E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Leve</w:t>
            </w:r>
          </w:p>
        </w:tc>
        <w:tc>
          <w:tcPr>
            <w:tcW w:w="77.75pt" w:type="dxa"/>
            <w:tcBorders>
              <w:top w:val="nil"/>
              <w:start w:val="nil"/>
              <w:bottom w:val="nil"/>
              <w:end w:val="nil"/>
            </w:tcBorders>
            <w:shd w:val="clear" w:color="auto" w:fill="auto"/>
            <w:noWrap/>
            <w:hideMark/>
          </w:tcPr>
          <w:p w14:paraId="36E2C84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63</w:t>
            </w:r>
          </w:p>
        </w:tc>
        <w:tc>
          <w:tcPr>
            <w:tcW w:w="77.75pt" w:type="dxa"/>
            <w:tcBorders>
              <w:top w:val="nil"/>
              <w:start w:val="nil"/>
              <w:bottom w:val="nil"/>
              <w:end w:val="nil"/>
            </w:tcBorders>
            <w:shd w:val="clear" w:color="auto" w:fill="auto"/>
            <w:noWrap/>
            <w:hideMark/>
          </w:tcPr>
          <w:p w14:paraId="352ADF9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18.0%</w:t>
            </w:r>
          </w:p>
        </w:tc>
        <w:tc>
          <w:tcPr>
            <w:tcW w:w="130.90pt" w:type="dxa"/>
            <w:tcBorders>
              <w:top w:val="nil"/>
              <w:start w:val="nil"/>
              <w:bottom w:val="nil"/>
              <w:end w:val="nil"/>
            </w:tcBorders>
            <w:shd w:val="clear" w:color="auto" w:fill="auto"/>
            <w:noWrap/>
            <w:hideMark/>
          </w:tcPr>
          <w:p w14:paraId="48D1088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30.6</w:t>
            </w:r>
          </w:p>
        </w:tc>
      </w:tr>
      <w:tr w:rsidR="00E845CC" w:rsidRPr="008A1537" w14:paraId="38FCCCD7" w14:textId="77777777" w:rsidTr="00E845CC">
        <w:trPr>
          <w:trHeight w:val="415"/>
        </w:trPr>
        <w:tc>
          <w:tcPr>
            <w:tcW w:w="134.80pt" w:type="dxa"/>
            <w:tcBorders>
              <w:top w:val="nil"/>
              <w:start w:val="nil"/>
              <w:bottom w:val="nil"/>
              <w:end w:val="nil"/>
            </w:tcBorders>
            <w:shd w:val="clear" w:color="auto" w:fill="auto"/>
            <w:hideMark/>
          </w:tcPr>
          <w:p w14:paraId="63CE1F0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De consideración</w:t>
            </w:r>
          </w:p>
        </w:tc>
        <w:tc>
          <w:tcPr>
            <w:tcW w:w="77.75pt" w:type="dxa"/>
            <w:tcBorders>
              <w:top w:val="nil"/>
              <w:start w:val="nil"/>
              <w:bottom w:val="nil"/>
              <w:end w:val="nil"/>
            </w:tcBorders>
            <w:shd w:val="clear" w:color="auto" w:fill="auto"/>
            <w:noWrap/>
            <w:hideMark/>
          </w:tcPr>
          <w:p w14:paraId="758947C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95</w:t>
            </w:r>
          </w:p>
        </w:tc>
        <w:tc>
          <w:tcPr>
            <w:tcW w:w="77.75pt" w:type="dxa"/>
            <w:tcBorders>
              <w:top w:val="nil"/>
              <w:start w:val="nil"/>
              <w:bottom w:val="nil"/>
              <w:end w:val="nil"/>
            </w:tcBorders>
            <w:shd w:val="clear" w:color="auto" w:fill="auto"/>
            <w:noWrap/>
            <w:hideMark/>
          </w:tcPr>
          <w:p w14:paraId="2E9471C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27.1%</w:t>
            </w:r>
          </w:p>
        </w:tc>
        <w:tc>
          <w:tcPr>
            <w:tcW w:w="130.90pt" w:type="dxa"/>
            <w:tcBorders>
              <w:top w:val="nil"/>
              <w:start w:val="nil"/>
              <w:bottom w:val="nil"/>
              <w:end w:val="nil"/>
            </w:tcBorders>
            <w:shd w:val="clear" w:color="auto" w:fill="auto"/>
            <w:noWrap/>
            <w:hideMark/>
          </w:tcPr>
          <w:p w14:paraId="0FDD546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57.7</w:t>
            </w:r>
          </w:p>
        </w:tc>
      </w:tr>
      <w:tr w:rsidR="00E845CC" w:rsidRPr="008A1537" w14:paraId="789EECF9" w14:textId="77777777" w:rsidTr="00E845CC">
        <w:trPr>
          <w:trHeight w:val="415"/>
        </w:trPr>
        <w:tc>
          <w:tcPr>
            <w:tcW w:w="134.80pt" w:type="dxa"/>
            <w:tcBorders>
              <w:top w:val="nil"/>
              <w:start w:val="nil"/>
              <w:bottom w:val="single" w:sz="4" w:space="0" w:color="auto"/>
              <w:end w:val="nil"/>
            </w:tcBorders>
            <w:shd w:val="clear" w:color="auto" w:fill="auto"/>
            <w:hideMark/>
          </w:tcPr>
          <w:p w14:paraId="554B158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Grave</w:t>
            </w:r>
          </w:p>
        </w:tc>
        <w:tc>
          <w:tcPr>
            <w:tcW w:w="77.75pt" w:type="dxa"/>
            <w:tcBorders>
              <w:top w:val="nil"/>
              <w:start w:val="nil"/>
              <w:bottom w:val="single" w:sz="4" w:space="0" w:color="auto"/>
              <w:end w:val="nil"/>
            </w:tcBorders>
            <w:shd w:val="clear" w:color="auto" w:fill="auto"/>
            <w:noWrap/>
            <w:hideMark/>
          </w:tcPr>
          <w:p w14:paraId="3C8558B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148</w:t>
            </w:r>
          </w:p>
        </w:tc>
        <w:tc>
          <w:tcPr>
            <w:tcW w:w="77.75pt" w:type="dxa"/>
            <w:tcBorders>
              <w:top w:val="nil"/>
              <w:start w:val="nil"/>
              <w:bottom w:val="single" w:sz="4" w:space="0" w:color="auto"/>
              <w:end w:val="nil"/>
            </w:tcBorders>
            <w:shd w:val="clear" w:color="auto" w:fill="auto"/>
            <w:noWrap/>
            <w:hideMark/>
          </w:tcPr>
          <w:p w14:paraId="62AA718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42.3%</w:t>
            </w:r>
          </w:p>
        </w:tc>
        <w:tc>
          <w:tcPr>
            <w:tcW w:w="130.90pt" w:type="dxa"/>
            <w:tcBorders>
              <w:top w:val="nil"/>
              <w:start w:val="nil"/>
              <w:bottom w:val="single" w:sz="4" w:space="0" w:color="auto"/>
              <w:end w:val="nil"/>
            </w:tcBorders>
            <w:shd w:val="clear" w:color="auto" w:fill="auto"/>
            <w:noWrap/>
            <w:hideMark/>
          </w:tcPr>
          <w:p w14:paraId="3FD20F3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r>
      <w:tr w:rsidR="00E845CC" w:rsidRPr="008A1537" w14:paraId="1E1B10DC" w14:textId="77777777" w:rsidTr="00E845CC">
        <w:trPr>
          <w:trHeight w:val="415"/>
        </w:trPr>
        <w:tc>
          <w:tcPr>
            <w:tcW w:w="134.80pt" w:type="dxa"/>
            <w:tcBorders>
              <w:top w:val="nil"/>
              <w:start w:val="nil"/>
              <w:bottom w:val="single" w:sz="4" w:space="0" w:color="auto"/>
              <w:end w:val="nil"/>
            </w:tcBorders>
            <w:shd w:val="clear" w:color="auto" w:fill="auto"/>
            <w:hideMark/>
          </w:tcPr>
          <w:p w14:paraId="03F6028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Total</w:t>
            </w:r>
          </w:p>
        </w:tc>
        <w:tc>
          <w:tcPr>
            <w:tcW w:w="77.75pt" w:type="dxa"/>
            <w:tcBorders>
              <w:top w:val="nil"/>
              <w:start w:val="nil"/>
              <w:bottom w:val="single" w:sz="4" w:space="0" w:color="auto"/>
              <w:end w:val="nil"/>
            </w:tcBorders>
            <w:shd w:val="clear" w:color="auto" w:fill="auto"/>
            <w:noWrap/>
            <w:hideMark/>
          </w:tcPr>
          <w:p w14:paraId="0FCC728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77.75pt" w:type="dxa"/>
            <w:tcBorders>
              <w:top w:val="nil"/>
              <w:start w:val="nil"/>
              <w:bottom w:val="single" w:sz="4" w:space="0" w:color="auto"/>
              <w:end w:val="nil"/>
            </w:tcBorders>
            <w:shd w:val="clear" w:color="auto" w:fill="auto"/>
            <w:noWrap/>
            <w:hideMark/>
          </w:tcPr>
          <w:p w14:paraId="31526B5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c>
          <w:tcPr>
            <w:tcW w:w="130.90pt" w:type="dxa"/>
            <w:tcBorders>
              <w:top w:val="nil"/>
              <w:start w:val="nil"/>
              <w:bottom w:val="single" w:sz="4" w:space="0" w:color="auto"/>
              <w:end w:val="nil"/>
            </w:tcBorders>
            <w:shd w:val="clear" w:color="auto" w:fill="auto"/>
            <w:hideMark/>
          </w:tcPr>
          <w:p w14:paraId="41EC378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w:t>
            </w:r>
          </w:p>
        </w:tc>
      </w:tr>
    </w:tbl>
    <w:p w14:paraId="0F628118"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p>
    <w:p w14:paraId="50FF3FE6"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Según la Tabla 4, el resultado de la valoración general de las infracciones tributarias, señala que el 42.3% de los comerciantes participantes consideran que ir en contra de la norma tributaria es una infracción “grave”, el 27.1% una infracción de “consideración”, el 18% que es una infracción “leve” y un 12.6% que es una infracción “normal”.</w:t>
      </w:r>
    </w:p>
    <w:p w14:paraId="6B432DA6"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r w:rsidRPr="00E845CC">
        <w:rPr>
          <w:rFonts w:ascii="Times New Roman" w:hAnsi="Times New Roman" w:cs="Times New Roman"/>
          <w:b/>
          <w:bCs/>
          <w:lang w:val="es-PE"/>
        </w:rPr>
        <w:t>Análisis de la valoración de las infracciones laborales</w:t>
      </w:r>
    </w:p>
    <w:p w14:paraId="0B3B2402"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r w:rsidRPr="00E845CC">
        <w:rPr>
          <w:rFonts w:ascii="Times New Roman" w:hAnsi="Times New Roman" w:cs="Times New Roman"/>
          <w:b/>
          <w:bCs/>
          <w:lang w:val="es-PE"/>
        </w:rPr>
        <w:t>Tabla 5</w:t>
      </w:r>
    </w:p>
    <w:p w14:paraId="76E10703"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i/>
          <w:iCs/>
          <w:lang w:val="es-PE"/>
        </w:rPr>
      </w:pPr>
      <w:r w:rsidRPr="00E845CC">
        <w:rPr>
          <w:rFonts w:ascii="Times New Roman" w:hAnsi="Times New Roman" w:cs="Times New Roman"/>
          <w:i/>
          <w:iCs/>
          <w:lang w:val="es-PE"/>
        </w:rPr>
        <w:t>Descriptivos de los ítems de infracciones laborales</w:t>
      </w:r>
    </w:p>
    <w:tbl>
      <w:tblPr>
        <w:tblW w:w="485.90pt" w:type="dxa"/>
        <w:jc w:val="center"/>
        <w:tblCellMar>
          <w:start w:w="3.50pt" w:type="dxa"/>
          <w:end w:w="3.50pt" w:type="dxa"/>
        </w:tblCellMar>
        <w:tblLook w:firstRow="1" w:lastRow="0" w:firstColumn="1" w:lastColumn="0" w:noHBand="0" w:noVBand="1"/>
      </w:tblPr>
      <w:tblGrid>
        <w:gridCol w:w="1473"/>
        <w:gridCol w:w="734"/>
        <w:gridCol w:w="806"/>
        <w:gridCol w:w="557"/>
        <w:gridCol w:w="680"/>
        <w:gridCol w:w="562"/>
        <w:gridCol w:w="685"/>
        <w:gridCol w:w="557"/>
        <w:gridCol w:w="680"/>
        <w:gridCol w:w="557"/>
        <w:gridCol w:w="680"/>
        <w:gridCol w:w="557"/>
        <w:gridCol w:w="680"/>
        <w:gridCol w:w="557"/>
        <w:gridCol w:w="680"/>
      </w:tblGrid>
      <w:tr w:rsidR="00E845CC" w:rsidRPr="008A1537" w14:paraId="6642D850" w14:textId="77777777" w:rsidTr="008A1537">
        <w:trPr>
          <w:trHeight w:val="714"/>
          <w:jc w:val="center"/>
        </w:trPr>
        <w:tc>
          <w:tcPr>
            <w:tcW w:w="66.25pt" w:type="dxa"/>
            <w:vMerge w:val="restart"/>
            <w:tcBorders>
              <w:top w:val="single" w:sz="4" w:space="0" w:color="auto"/>
              <w:start w:val="nil"/>
              <w:bottom w:val="single" w:sz="4" w:space="0" w:color="000000"/>
              <w:end w:val="nil"/>
            </w:tcBorders>
            <w:shd w:val="clear" w:color="auto" w:fill="auto"/>
            <w:vAlign w:val="center"/>
            <w:hideMark/>
          </w:tcPr>
          <w:p w14:paraId="31D6F75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Valoración</w:t>
            </w:r>
          </w:p>
        </w:tc>
        <w:tc>
          <w:tcPr>
            <w:tcW w:w="69.25pt" w:type="dxa"/>
            <w:gridSpan w:val="2"/>
            <w:tcBorders>
              <w:top w:val="single" w:sz="4" w:space="0" w:color="auto"/>
              <w:start w:val="nil"/>
              <w:bottom w:val="single" w:sz="4" w:space="0" w:color="auto"/>
              <w:end w:val="nil"/>
            </w:tcBorders>
            <w:shd w:val="clear" w:color="auto" w:fill="auto"/>
            <w:vAlign w:val="center"/>
            <w:hideMark/>
          </w:tcPr>
          <w:p w14:paraId="1EDB011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Remuneración mínima vital</w:t>
            </w:r>
          </w:p>
        </w:tc>
        <w:tc>
          <w:tcPr>
            <w:tcW w:w="58.40pt" w:type="dxa"/>
            <w:gridSpan w:val="2"/>
            <w:tcBorders>
              <w:top w:val="single" w:sz="4" w:space="0" w:color="auto"/>
              <w:start w:val="nil"/>
              <w:bottom w:val="single" w:sz="4" w:space="0" w:color="auto"/>
              <w:end w:val="nil"/>
            </w:tcBorders>
            <w:shd w:val="clear" w:color="auto" w:fill="auto"/>
            <w:vAlign w:val="center"/>
            <w:hideMark/>
          </w:tcPr>
          <w:p w14:paraId="52C5DCA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Descanso semanal</w:t>
            </w:r>
          </w:p>
        </w:tc>
        <w:tc>
          <w:tcPr>
            <w:tcW w:w="58.40pt" w:type="dxa"/>
            <w:gridSpan w:val="2"/>
            <w:tcBorders>
              <w:top w:val="single" w:sz="4" w:space="0" w:color="auto"/>
              <w:start w:val="nil"/>
              <w:bottom w:val="single" w:sz="4" w:space="0" w:color="auto"/>
              <w:end w:val="nil"/>
            </w:tcBorders>
            <w:shd w:val="clear" w:color="auto" w:fill="auto"/>
            <w:vAlign w:val="center"/>
            <w:hideMark/>
          </w:tcPr>
          <w:p w14:paraId="0BAF7BF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Vacaciones</w:t>
            </w:r>
          </w:p>
        </w:tc>
        <w:tc>
          <w:tcPr>
            <w:tcW w:w="58.40pt" w:type="dxa"/>
            <w:gridSpan w:val="2"/>
            <w:tcBorders>
              <w:top w:val="single" w:sz="4" w:space="0" w:color="auto"/>
              <w:start w:val="nil"/>
              <w:bottom w:val="single" w:sz="4" w:space="0" w:color="auto"/>
              <w:end w:val="nil"/>
            </w:tcBorders>
            <w:shd w:val="clear" w:color="auto" w:fill="auto"/>
            <w:vAlign w:val="center"/>
            <w:hideMark/>
          </w:tcPr>
          <w:p w14:paraId="66347A0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Seguro social</w:t>
            </w:r>
          </w:p>
        </w:tc>
        <w:tc>
          <w:tcPr>
            <w:tcW w:w="58.40pt" w:type="dxa"/>
            <w:gridSpan w:val="2"/>
            <w:tcBorders>
              <w:top w:val="single" w:sz="4" w:space="0" w:color="auto"/>
              <w:start w:val="nil"/>
              <w:bottom w:val="single" w:sz="4" w:space="0" w:color="auto"/>
              <w:end w:val="nil"/>
            </w:tcBorders>
            <w:shd w:val="clear" w:color="auto" w:fill="auto"/>
            <w:vAlign w:val="center"/>
            <w:hideMark/>
          </w:tcPr>
          <w:p w14:paraId="0639D4E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Sobre tiempo</w:t>
            </w:r>
          </w:p>
        </w:tc>
        <w:tc>
          <w:tcPr>
            <w:tcW w:w="58.40pt" w:type="dxa"/>
            <w:gridSpan w:val="2"/>
            <w:tcBorders>
              <w:top w:val="single" w:sz="4" w:space="0" w:color="auto"/>
              <w:start w:val="nil"/>
              <w:bottom w:val="single" w:sz="4" w:space="0" w:color="auto"/>
              <w:end w:val="nil"/>
            </w:tcBorders>
            <w:shd w:val="clear" w:color="auto" w:fill="auto"/>
            <w:vAlign w:val="center"/>
            <w:hideMark/>
          </w:tcPr>
          <w:p w14:paraId="73A8850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Jornada de 8 horas</w:t>
            </w:r>
          </w:p>
        </w:tc>
        <w:tc>
          <w:tcPr>
            <w:tcW w:w="58.40pt" w:type="dxa"/>
            <w:gridSpan w:val="2"/>
            <w:tcBorders>
              <w:top w:val="single" w:sz="4" w:space="0" w:color="auto"/>
              <w:start w:val="nil"/>
              <w:bottom w:val="single" w:sz="4" w:space="0" w:color="auto"/>
              <w:end w:val="nil"/>
            </w:tcBorders>
            <w:shd w:val="clear" w:color="auto" w:fill="auto"/>
            <w:vAlign w:val="center"/>
            <w:hideMark/>
          </w:tcPr>
          <w:p w14:paraId="2303DD0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Pago por feriados</w:t>
            </w:r>
          </w:p>
        </w:tc>
      </w:tr>
      <w:tr w:rsidR="00E845CC" w:rsidRPr="008A1537" w14:paraId="40FB4500" w14:textId="77777777" w:rsidTr="008A1537">
        <w:trPr>
          <w:trHeight w:val="348"/>
          <w:jc w:val="center"/>
        </w:trPr>
        <w:tc>
          <w:tcPr>
            <w:tcW w:w="66.25pt" w:type="dxa"/>
            <w:vMerge/>
            <w:tcBorders>
              <w:top w:val="single" w:sz="4" w:space="0" w:color="auto"/>
              <w:start w:val="nil"/>
              <w:bottom w:val="single" w:sz="4" w:space="0" w:color="000000"/>
              <w:end w:val="nil"/>
            </w:tcBorders>
            <w:vAlign w:val="center"/>
            <w:hideMark/>
          </w:tcPr>
          <w:p w14:paraId="2D716A8D" w14:textId="77777777" w:rsidR="00E845CC" w:rsidRPr="008A1537" w:rsidRDefault="00E845CC" w:rsidP="008A1537">
            <w:pPr>
              <w:rPr>
                <w:rFonts w:ascii="Times New Roman" w:hAnsi="Times New Roman" w:cs="Times New Roman"/>
              </w:rPr>
            </w:pPr>
          </w:p>
        </w:tc>
        <w:tc>
          <w:tcPr>
            <w:tcW w:w="33pt" w:type="dxa"/>
            <w:tcBorders>
              <w:top w:val="nil"/>
              <w:start w:val="nil"/>
              <w:bottom w:val="single" w:sz="4" w:space="0" w:color="auto"/>
              <w:end w:val="nil"/>
            </w:tcBorders>
            <w:shd w:val="clear" w:color="auto" w:fill="auto"/>
            <w:vAlign w:val="center"/>
            <w:hideMark/>
          </w:tcPr>
          <w:p w14:paraId="731175D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36.25pt" w:type="dxa"/>
            <w:tcBorders>
              <w:top w:val="nil"/>
              <w:start w:val="nil"/>
              <w:bottom w:val="single" w:sz="4" w:space="0" w:color="auto"/>
              <w:end w:val="nil"/>
            </w:tcBorders>
            <w:shd w:val="clear" w:color="auto" w:fill="auto"/>
            <w:vAlign w:val="center"/>
            <w:hideMark/>
          </w:tcPr>
          <w:p w14:paraId="7FE3ACE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w:t>
            </w:r>
          </w:p>
        </w:tc>
        <w:tc>
          <w:tcPr>
            <w:tcW w:w="27.85pt" w:type="dxa"/>
            <w:tcBorders>
              <w:top w:val="nil"/>
              <w:start w:val="nil"/>
              <w:bottom w:val="single" w:sz="4" w:space="0" w:color="auto"/>
              <w:end w:val="nil"/>
            </w:tcBorders>
            <w:shd w:val="clear" w:color="auto" w:fill="auto"/>
            <w:vAlign w:val="center"/>
            <w:hideMark/>
          </w:tcPr>
          <w:p w14:paraId="5C6CD91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30.55pt" w:type="dxa"/>
            <w:tcBorders>
              <w:top w:val="nil"/>
              <w:start w:val="nil"/>
              <w:bottom w:val="single" w:sz="4" w:space="0" w:color="auto"/>
              <w:end w:val="nil"/>
            </w:tcBorders>
            <w:shd w:val="clear" w:color="auto" w:fill="auto"/>
            <w:vAlign w:val="center"/>
            <w:hideMark/>
          </w:tcPr>
          <w:p w14:paraId="56D0D94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w:t>
            </w:r>
          </w:p>
        </w:tc>
        <w:tc>
          <w:tcPr>
            <w:tcW w:w="27.85pt" w:type="dxa"/>
            <w:tcBorders>
              <w:top w:val="nil"/>
              <w:start w:val="nil"/>
              <w:bottom w:val="single" w:sz="4" w:space="0" w:color="auto"/>
              <w:end w:val="nil"/>
            </w:tcBorders>
            <w:shd w:val="clear" w:color="auto" w:fill="auto"/>
            <w:vAlign w:val="center"/>
            <w:hideMark/>
          </w:tcPr>
          <w:p w14:paraId="252BC8F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30.55pt" w:type="dxa"/>
            <w:tcBorders>
              <w:top w:val="nil"/>
              <w:start w:val="nil"/>
              <w:bottom w:val="single" w:sz="4" w:space="0" w:color="auto"/>
              <w:end w:val="nil"/>
            </w:tcBorders>
            <w:shd w:val="clear" w:color="auto" w:fill="auto"/>
            <w:vAlign w:val="center"/>
            <w:hideMark/>
          </w:tcPr>
          <w:p w14:paraId="1BCA701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w:t>
            </w:r>
          </w:p>
        </w:tc>
        <w:tc>
          <w:tcPr>
            <w:tcW w:w="27.85pt" w:type="dxa"/>
            <w:tcBorders>
              <w:top w:val="nil"/>
              <w:start w:val="nil"/>
              <w:bottom w:val="single" w:sz="4" w:space="0" w:color="auto"/>
              <w:end w:val="nil"/>
            </w:tcBorders>
            <w:shd w:val="clear" w:color="auto" w:fill="auto"/>
            <w:vAlign w:val="center"/>
            <w:hideMark/>
          </w:tcPr>
          <w:p w14:paraId="403B2EE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30.55pt" w:type="dxa"/>
            <w:tcBorders>
              <w:top w:val="nil"/>
              <w:start w:val="nil"/>
              <w:bottom w:val="single" w:sz="4" w:space="0" w:color="auto"/>
              <w:end w:val="nil"/>
            </w:tcBorders>
            <w:shd w:val="clear" w:color="auto" w:fill="auto"/>
            <w:vAlign w:val="center"/>
            <w:hideMark/>
          </w:tcPr>
          <w:p w14:paraId="3983E44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w:t>
            </w:r>
          </w:p>
        </w:tc>
        <w:tc>
          <w:tcPr>
            <w:tcW w:w="27.85pt" w:type="dxa"/>
            <w:tcBorders>
              <w:top w:val="nil"/>
              <w:start w:val="nil"/>
              <w:bottom w:val="single" w:sz="4" w:space="0" w:color="auto"/>
              <w:end w:val="nil"/>
            </w:tcBorders>
            <w:shd w:val="clear" w:color="auto" w:fill="auto"/>
            <w:vAlign w:val="center"/>
            <w:hideMark/>
          </w:tcPr>
          <w:p w14:paraId="13D9821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30.55pt" w:type="dxa"/>
            <w:tcBorders>
              <w:top w:val="nil"/>
              <w:start w:val="nil"/>
              <w:bottom w:val="single" w:sz="4" w:space="0" w:color="auto"/>
              <w:end w:val="nil"/>
            </w:tcBorders>
            <w:shd w:val="clear" w:color="auto" w:fill="auto"/>
            <w:vAlign w:val="center"/>
            <w:hideMark/>
          </w:tcPr>
          <w:p w14:paraId="1A6151D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w:t>
            </w:r>
          </w:p>
        </w:tc>
        <w:tc>
          <w:tcPr>
            <w:tcW w:w="27.85pt" w:type="dxa"/>
            <w:tcBorders>
              <w:top w:val="nil"/>
              <w:start w:val="nil"/>
              <w:bottom w:val="single" w:sz="4" w:space="0" w:color="auto"/>
              <w:end w:val="nil"/>
            </w:tcBorders>
            <w:shd w:val="clear" w:color="auto" w:fill="auto"/>
            <w:vAlign w:val="center"/>
            <w:hideMark/>
          </w:tcPr>
          <w:p w14:paraId="228DDE5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30.55pt" w:type="dxa"/>
            <w:tcBorders>
              <w:top w:val="nil"/>
              <w:start w:val="nil"/>
              <w:bottom w:val="single" w:sz="4" w:space="0" w:color="auto"/>
              <w:end w:val="nil"/>
            </w:tcBorders>
            <w:shd w:val="clear" w:color="auto" w:fill="auto"/>
            <w:vAlign w:val="center"/>
            <w:hideMark/>
          </w:tcPr>
          <w:p w14:paraId="379716F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w:t>
            </w:r>
          </w:p>
        </w:tc>
        <w:tc>
          <w:tcPr>
            <w:tcW w:w="27.85pt" w:type="dxa"/>
            <w:tcBorders>
              <w:top w:val="nil"/>
              <w:start w:val="nil"/>
              <w:bottom w:val="single" w:sz="4" w:space="0" w:color="auto"/>
              <w:end w:val="nil"/>
            </w:tcBorders>
            <w:shd w:val="clear" w:color="auto" w:fill="auto"/>
            <w:vAlign w:val="center"/>
            <w:hideMark/>
          </w:tcPr>
          <w:p w14:paraId="3A5871B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30.55pt" w:type="dxa"/>
            <w:tcBorders>
              <w:top w:val="nil"/>
              <w:start w:val="nil"/>
              <w:bottom w:val="single" w:sz="4" w:space="0" w:color="auto"/>
              <w:end w:val="nil"/>
            </w:tcBorders>
            <w:shd w:val="clear" w:color="auto" w:fill="auto"/>
            <w:vAlign w:val="center"/>
            <w:hideMark/>
          </w:tcPr>
          <w:p w14:paraId="6E0E987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w:t>
            </w:r>
          </w:p>
        </w:tc>
      </w:tr>
      <w:tr w:rsidR="00E845CC" w:rsidRPr="008A1537" w14:paraId="3BD91DB2" w14:textId="77777777" w:rsidTr="008A1537">
        <w:trPr>
          <w:trHeight w:val="348"/>
          <w:jc w:val="center"/>
        </w:trPr>
        <w:tc>
          <w:tcPr>
            <w:tcW w:w="66.25pt" w:type="dxa"/>
            <w:tcBorders>
              <w:top w:val="nil"/>
              <w:start w:val="nil"/>
              <w:bottom w:val="nil"/>
              <w:end w:val="nil"/>
            </w:tcBorders>
            <w:shd w:val="clear" w:color="auto" w:fill="auto"/>
            <w:vAlign w:val="center"/>
            <w:hideMark/>
          </w:tcPr>
          <w:p w14:paraId="0292E6F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Normal</w:t>
            </w:r>
          </w:p>
        </w:tc>
        <w:tc>
          <w:tcPr>
            <w:tcW w:w="33pt" w:type="dxa"/>
            <w:tcBorders>
              <w:top w:val="nil"/>
              <w:start w:val="nil"/>
              <w:bottom w:val="nil"/>
              <w:end w:val="nil"/>
            </w:tcBorders>
            <w:shd w:val="clear" w:color="auto" w:fill="auto"/>
            <w:noWrap/>
            <w:vAlign w:val="center"/>
            <w:hideMark/>
          </w:tcPr>
          <w:p w14:paraId="58B2928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28</w:t>
            </w:r>
          </w:p>
        </w:tc>
        <w:tc>
          <w:tcPr>
            <w:tcW w:w="36.25pt" w:type="dxa"/>
            <w:tcBorders>
              <w:top w:val="nil"/>
              <w:start w:val="nil"/>
              <w:bottom w:val="nil"/>
              <w:end w:val="nil"/>
            </w:tcBorders>
            <w:shd w:val="clear" w:color="auto" w:fill="auto"/>
            <w:noWrap/>
            <w:vAlign w:val="center"/>
            <w:hideMark/>
          </w:tcPr>
          <w:p w14:paraId="55AB285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8.0</w:t>
            </w:r>
          </w:p>
        </w:tc>
        <w:tc>
          <w:tcPr>
            <w:tcW w:w="27.85pt" w:type="dxa"/>
            <w:tcBorders>
              <w:top w:val="nil"/>
              <w:start w:val="nil"/>
              <w:bottom w:val="nil"/>
              <w:end w:val="nil"/>
            </w:tcBorders>
            <w:shd w:val="clear" w:color="auto" w:fill="auto"/>
            <w:noWrap/>
            <w:vAlign w:val="center"/>
            <w:hideMark/>
          </w:tcPr>
          <w:p w14:paraId="2238964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26</w:t>
            </w:r>
          </w:p>
        </w:tc>
        <w:tc>
          <w:tcPr>
            <w:tcW w:w="30.55pt" w:type="dxa"/>
            <w:tcBorders>
              <w:top w:val="nil"/>
              <w:start w:val="nil"/>
              <w:bottom w:val="nil"/>
              <w:end w:val="nil"/>
            </w:tcBorders>
            <w:shd w:val="clear" w:color="auto" w:fill="auto"/>
            <w:noWrap/>
            <w:vAlign w:val="center"/>
            <w:hideMark/>
          </w:tcPr>
          <w:p w14:paraId="6FE9425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7.4</w:t>
            </w:r>
          </w:p>
        </w:tc>
        <w:tc>
          <w:tcPr>
            <w:tcW w:w="27.85pt" w:type="dxa"/>
            <w:tcBorders>
              <w:top w:val="nil"/>
              <w:start w:val="nil"/>
              <w:bottom w:val="nil"/>
              <w:end w:val="nil"/>
            </w:tcBorders>
            <w:shd w:val="clear" w:color="auto" w:fill="auto"/>
            <w:noWrap/>
            <w:vAlign w:val="center"/>
            <w:hideMark/>
          </w:tcPr>
          <w:p w14:paraId="62A2A75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29</w:t>
            </w:r>
          </w:p>
        </w:tc>
        <w:tc>
          <w:tcPr>
            <w:tcW w:w="30.55pt" w:type="dxa"/>
            <w:tcBorders>
              <w:top w:val="nil"/>
              <w:start w:val="nil"/>
              <w:bottom w:val="nil"/>
              <w:end w:val="nil"/>
            </w:tcBorders>
            <w:shd w:val="clear" w:color="auto" w:fill="auto"/>
            <w:noWrap/>
            <w:vAlign w:val="center"/>
            <w:hideMark/>
          </w:tcPr>
          <w:p w14:paraId="14FACD8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8.3</w:t>
            </w:r>
          </w:p>
        </w:tc>
        <w:tc>
          <w:tcPr>
            <w:tcW w:w="27.85pt" w:type="dxa"/>
            <w:tcBorders>
              <w:top w:val="nil"/>
              <w:start w:val="nil"/>
              <w:bottom w:val="nil"/>
              <w:end w:val="nil"/>
            </w:tcBorders>
            <w:shd w:val="clear" w:color="auto" w:fill="auto"/>
            <w:noWrap/>
            <w:vAlign w:val="center"/>
            <w:hideMark/>
          </w:tcPr>
          <w:p w14:paraId="74ABD03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28</w:t>
            </w:r>
          </w:p>
        </w:tc>
        <w:tc>
          <w:tcPr>
            <w:tcW w:w="30.55pt" w:type="dxa"/>
            <w:tcBorders>
              <w:top w:val="nil"/>
              <w:start w:val="nil"/>
              <w:bottom w:val="nil"/>
              <w:end w:val="nil"/>
            </w:tcBorders>
            <w:shd w:val="clear" w:color="auto" w:fill="auto"/>
            <w:noWrap/>
            <w:vAlign w:val="center"/>
            <w:hideMark/>
          </w:tcPr>
          <w:p w14:paraId="7E5ED65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8.0</w:t>
            </w:r>
          </w:p>
        </w:tc>
        <w:tc>
          <w:tcPr>
            <w:tcW w:w="27.85pt" w:type="dxa"/>
            <w:tcBorders>
              <w:top w:val="nil"/>
              <w:start w:val="nil"/>
              <w:bottom w:val="nil"/>
              <w:end w:val="nil"/>
            </w:tcBorders>
            <w:shd w:val="clear" w:color="auto" w:fill="auto"/>
            <w:noWrap/>
            <w:vAlign w:val="center"/>
            <w:hideMark/>
          </w:tcPr>
          <w:p w14:paraId="1750DEA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27</w:t>
            </w:r>
          </w:p>
        </w:tc>
        <w:tc>
          <w:tcPr>
            <w:tcW w:w="30.55pt" w:type="dxa"/>
            <w:tcBorders>
              <w:top w:val="nil"/>
              <w:start w:val="nil"/>
              <w:bottom w:val="nil"/>
              <w:end w:val="nil"/>
            </w:tcBorders>
            <w:shd w:val="clear" w:color="auto" w:fill="auto"/>
            <w:noWrap/>
            <w:vAlign w:val="center"/>
            <w:hideMark/>
          </w:tcPr>
          <w:p w14:paraId="1479B46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7.7</w:t>
            </w:r>
          </w:p>
        </w:tc>
        <w:tc>
          <w:tcPr>
            <w:tcW w:w="27.85pt" w:type="dxa"/>
            <w:tcBorders>
              <w:top w:val="nil"/>
              <w:start w:val="nil"/>
              <w:bottom w:val="nil"/>
              <w:end w:val="nil"/>
            </w:tcBorders>
            <w:shd w:val="clear" w:color="auto" w:fill="auto"/>
            <w:noWrap/>
            <w:vAlign w:val="center"/>
            <w:hideMark/>
          </w:tcPr>
          <w:p w14:paraId="1C0AE58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26</w:t>
            </w:r>
          </w:p>
        </w:tc>
        <w:tc>
          <w:tcPr>
            <w:tcW w:w="30.55pt" w:type="dxa"/>
            <w:tcBorders>
              <w:top w:val="nil"/>
              <w:start w:val="nil"/>
              <w:bottom w:val="nil"/>
              <w:end w:val="nil"/>
            </w:tcBorders>
            <w:shd w:val="clear" w:color="auto" w:fill="auto"/>
            <w:noWrap/>
            <w:vAlign w:val="center"/>
            <w:hideMark/>
          </w:tcPr>
          <w:p w14:paraId="69144D8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7.4</w:t>
            </w:r>
          </w:p>
        </w:tc>
        <w:tc>
          <w:tcPr>
            <w:tcW w:w="27.85pt" w:type="dxa"/>
            <w:tcBorders>
              <w:top w:val="nil"/>
              <w:start w:val="nil"/>
              <w:bottom w:val="nil"/>
              <w:end w:val="nil"/>
            </w:tcBorders>
            <w:shd w:val="clear" w:color="auto" w:fill="auto"/>
            <w:noWrap/>
            <w:vAlign w:val="center"/>
            <w:hideMark/>
          </w:tcPr>
          <w:p w14:paraId="4AEEF39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25</w:t>
            </w:r>
          </w:p>
        </w:tc>
        <w:tc>
          <w:tcPr>
            <w:tcW w:w="30.55pt" w:type="dxa"/>
            <w:tcBorders>
              <w:top w:val="nil"/>
              <w:start w:val="nil"/>
              <w:bottom w:val="nil"/>
              <w:end w:val="nil"/>
            </w:tcBorders>
            <w:shd w:val="clear" w:color="auto" w:fill="auto"/>
            <w:noWrap/>
            <w:vAlign w:val="center"/>
            <w:hideMark/>
          </w:tcPr>
          <w:p w14:paraId="4C03762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7.1</w:t>
            </w:r>
          </w:p>
        </w:tc>
      </w:tr>
      <w:tr w:rsidR="00E845CC" w:rsidRPr="008A1537" w14:paraId="5685BF62" w14:textId="77777777" w:rsidTr="008A1537">
        <w:trPr>
          <w:trHeight w:val="348"/>
          <w:jc w:val="center"/>
        </w:trPr>
        <w:tc>
          <w:tcPr>
            <w:tcW w:w="66.25pt" w:type="dxa"/>
            <w:tcBorders>
              <w:top w:val="nil"/>
              <w:start w:val="nil"/>
              <w:bottom w:val="nil"/>
              <w:end w:val="nil"/>
            </w:tcBorders>
            <w:shd w:val="clear" w:color="auto" w:fill="auto"/>
            <w:vAlign w:val="center"/>
            <w:hideMark/>
          </w:tcPr>
          <w:p w14:paraId="135519D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Leve</w:t>
            </w:r>
          </w:p>
        </w:tc>
        <w:tc>
          <w:tcPr>
            <w:tcW w:w="33pt" w:type="dxa"/>
            <w:tcBorders>
              <w:top w:val="nil"/>
              <w:start w:val="nil"/>
              <w:bottom w:val="nil"/>
              <w:end w:val="nil"/>
            </w:tcBorders>
            <w:shd w:val="clear" w:color="auto" w:fill="auto"/>
            <w:noWrap/>
            <w:vAlign w:val="center"/>
            <w:hideMark/>
          </w:tcPr>
          <w:p w14:paraId="42CD47B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48</w:t>
            </w:r>
          </w:p>
        </w:tc>
        <w:tc>
          <w:tcPr>
            <w:tcW w:w="36.25pt" w:type="dxa"/>
            <w:tcBorders>
              <w:top w:val="nil"/>
              <w:start w:val="nil"/>
              <w:bottom w:val="nil"/>
              <w:end w:val="nil"/>
            </w:tcBorders>
            <w:shd w:val="clear" w:color="auto" w:fill="auto"/>
            <w:noWrap/>
            <w:vAlign w:val="center"/>
            <w:hideMark/>
          </w:tcPr>
          <w:p w14:paraId="58440B1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13.7</w:t>
            </w:r>
          </w:p>
        </w:tc>
        <w:tc>
          <w:tcPr>
            <w:tcW w:w="27.85pt" w:type="dxa"/>
            <w:tcBorders>
              <w:top w:val="nil"/>
              <w:start w:val="nil"/>
              <w:bottom w:val="nil"/>
              <w:end w:val="nil"/>
            </w:tcBorders>
            <w:shd w:val="clear" w:color="auto" w:fill="auto"/>
            <w:noWrap/>
            <w:vAlign w:val="center"/>
            <w:hideMark/>
          </w:tcPr>
          <w:p w14:paraId="45698D1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42</w:t>
            </w:r>
          </w:p>
        </w:tc>
        <w:tc>
          <w:tcPr>
            <w:tcW w:w="30.55pt" w:type="dxa"/>
            <w:tcBorders>
              <w:top w:val="nil"/>
              <w:start w:val="nil"/>
              <w:bottom w:val="nil"/>
              <w:end w:val="nil"/>
            </w:tcBorders>
            <w:shd w:val="clear" w:color="auto" w:fill="auto"/>
            <w:noWrap/>
            <w:vAlign w:val="center"/>
            <w:hideMark/>
          </w:tcPr>
          <w:p w14:paraId="7D56F6E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12.0</w:t>
            </w:r>
          </w:p>
        </w:tc>
        <w:tc>
          <w:tcPr>
            <w:tcW w:w="27.85pt" w:type="dxa"/>
            <w:tcBorders>
              <w:top w:val="nil"/>
              <w:start w:val="nil"/>
              <w:bottom w:val="nil"/>
              <w:end w:val="nil"/>
            </w:tcBorders>
            <w:shd w:val="clear" w:color="auto" w:fill="auto"/>
            <w:noWrap/>
            <w:vAlign w:val="center"/>
            <w:hideMark/>
          </w:tcPr>
          <w:p w14:paraId="0C4C1C8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38</w:t>
            </w:r>
          </w:p>
        </w:tc>
        <w:tc>
          <w:tcPr>
            <w:tcW w:w="30.55pt" w:type="dxa"/>
            <w:tcBorders>
              <w:top w:val="nil"/>
              <w:start w:val="nil"/>
              <w:bottom w:val="nil"/>
              <w:end w:val="nil"/>
            </w:tcBorders>
            <w:shd w:val="clear" w:color="auto" w:fill="auto"/>
            <w:noWrap/>
            <w:vAlign w:val="center"/>
            <w:hideMark/>
          </w:tcPr>
          <w:p w14:paraId="5EEEF12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10.9</w:t>
            </w:r>
          </w:p>
        </w:tc>
        <w:tc>
          <w:tcPr>
            <w:tcW w:w="27.85pt" w:type="dxa"/>
            <w:tcBorders>
              <w:top w:val="nil"/>
              <w:start w:val="nil"/>
              <w:bottom w:val="nil"/>
              <w:end w:val="nil"/>
            </w:tcBorders>
            <w:shd w:val="clear" w:color="auto" w:fill="auto"/>
            <w:noWrap/>
            <w:vAlign w:val="center"/>
            <w:hideMark/>
          </w:tcPr>
          <w:p w14:paraId="0FA6796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33</w:t>
            </w:r>
          </w:p>
        </w:tc>
        <w:tc>
          <w:tcPr>
            <w:tcW w:w="30.55pt" w:type="dxa"/>
            <w:tcBorders>
              <w:top w:val="nil"/>
              <w:start w:val="nil"/>
              <w:bottom w:val="nil"/>
              <w:end w:val="nil"/>
            </w:tcBorders>
            <w:shd w:val="clear" w:color="auto" w:fill="auto"/>
            <w:noWrap/>
            <w:vAlign w:val="center"/>
            <w:hideMark/>
          </w:tcPr>
          <w:p w14:paraId="008B3CA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9.4</w:t>
            </w:r>
          </w:p>
        </w:tc>
        <w:tc>
          <w:tcPr>
            <w:tcW w:w="27.85pt" w:type="dxa"/>
            <w:tcBorders>
              <w:top w:val="nil"/>
              <w:start w:val="nil"/>
              <w:bottom w:val="nil"/>
              <w:end w:val="nil"/>
            </w:tcBorders>
            <w:shd w:val="clear" w:color="auto" w:fill="auto"/>
            <w:noWrap/>
            <w:vAlign w:val="center"/>
            <w:hideMark/>
          </w:tcPr>
          <w:p w14:paraId="78A2B84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26</w:t>
            </w:r>
          </w:p>
        </w:tc>
        <w:tc>
          <w:tcPr>
            <w:tcW w:w="30.55pt" w:type="dxa"/>
            <w:tcBorders>
              <w:top w:val="nil"/>
              <w:start w:val="nil"/>
              <w:bottom w:val="nil"/>
              <w:end w:val="nil"/>
            </w:tcBorders>
            <w:shd w:val="clear" w:color="auto" w:fill="auto"/>
            <w:noWrap/>
            <w:vAlign w:val="center"/>
            <w:hideMark/>
          </w:tcPr>
          <w:p w14:paraId="1584149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7.4</w:t>
            </w:r>
          </w:p>
        </w:tc>
        <w:tc>
          <w:tcPr>
            <w:tcW w:w="27.85pt" w:type="dxa"/>
            <w:tcBorders>
              <w:top w:val="nil"/>
              <w:start w:val="nil"/>
              <w:bottom w:val="nil"/>
              <w:end w:val="nil"/>
            </w:tcBorders>
            <w:shd w:val="clear" w:color="auto" w:fill="auto"/>
            <w:noWrap/>
            <w:vAlign w:val="center"/>
            <w:hideMark/>
          </w:tcPr>
          <w:p w14:paraId="0716F56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27</w:t>
            </w:r>
          </w:p>
        </w:tc>
        <w:tc>
          <w:tcPr>
            <w:tcW w:w="30.55pt" w:type="dxa"/>
            <w:tcBorders>
              <w:top w:val="nil"/>
              <w:start w:val="nil"/>
              <w:bottom w:val="nil"/>
              <w:end w:val="nil"/>
            </w:tcBorders>
            <w:shd w:val="clear" w:color="auto" w:fill="auto"/>
            <w:noWrap/>
            <w:vAlign w:val="center"/>
            <w:hideMark/>
          </w:tcPr>
          <w:p w14:paraId="16D0E5E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7.7</w:t>
            </w:r>
          </w:p>
        </w:tc>
        <w:tc>
          <w:tcPr>
            <w:tcW w:w="27.85pt" w:type="dxa"/>
            <w:tcBorders>
              <w:top w:val="nil"/>
              <w:start w:val="nil"/>
              <w:bottom w:val="nil"/>
              <w:end w:val="nil"/>
            </w:tcBorders>
            <w:shd w:val="clear" w:color="auto" w:fill="auto"/>
            <w:noWrap/>
            <w:vAlign w:val="center"/>
            <w:hideMark/>
          </w:tcPr>
          <w:p w14:paraId="6711A4D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28</w:t>
            </w:r>
          </w:p>
        </w:tc>
        <w:tc>
          <w:tcPr>
            <w:tcW w:w="30.55pt" w:type="dxa"/>
            <w:tcBorders>
              <w:top w:val="nil"/>
              <w:start w:val="nil"/>
              <w:bottom w:val="nil"/>
              <w:end w:val="nil"/>
            </w:tcBorders>
            <w:shd w:val="clear" w:color="auto" w:fill="auto"/>
            <w:noWrap/>
            <w:vAlign w:val="center"/>
            <w:hideMark/>
          </w:tcPr>
          <w:p w14:paraId="2AECB91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8.0</w:t>
            </w:r>
          </w:p>
        </w:tc>
      </w:tr>
      <w:tr w:rsidR="00E845CC" w:rsidRPr="008A1537" w14:paraId="3BEEABAF" w14:textId="77777777" w:rsidTr="008A1537">
        <w:trPr>
          <w:trHeight w:val="348"/>
          <w:jc w:val="center"/>
        </w:trPr>
        <w:tc>
          <w:tcPr>
            <w:tcW w:w="66.25pt" w:type="dxa"/>
            <w:tcBorders>
              <w:top w:val="nil"/>
              <w:start w:val="nil"/>
              <w:bottom w:val="nil"/>
              <w:end w:val="nil"/>
            </w:tcBorders>
            <w:shd w:val="clear" w:color="auto" w:fill="auto"/>
            <w:vAlign w:val="center"/>
            <w:hideMark/>
          </w:tcPr>
          <w:p w14:paraId="640C017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De consideración</w:t>
            </w:r>
          </w:p>
        </w:tc>
        <w:tc>
          <w:tcPr>
            <w:tcW w:w="33pt" w:type="dxa"/>
            <w:tcBorders>
              <w:top w:val="nil"/>
              <w:start w:val="nil"/>
              <w:bottom w:val="nil"/>
              <w:end w:val="nil"/>
            </w:tcBorders>
            <w:shd w:val="clear" w:color="auto" w:fill="auto"/>
            <w:noWrap/>
            <w:vAlign w:val="center"/>
            <w:hideMark/>
          </w:tcPr>
          <w:p w14:paraId="3BA2386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w:t>
            </w:r>
          </w:p>
        </w:tc>
        <w:tc>
          <w:tcPr>
            <w:tcW w:w="36.25pt" w:type="dxa"/>
            <w:tcBorders>
              <w:top w:val="nil"/>
              <w:start w:val="nil"/>
              <w:bottom w:val="nil"/>
              <w:end w:val="nil"/>
            </w:tcBorders>
            <w:shd w:val="clear" w:color="auto" w:fill="auto"/>
            <w:noWrap/>
            <w:vAlign w:val="center"/>
            <w:hideMark/>
          </w:tcPr>
          <w:p w14:paraId="5959D9D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28.6</w:t>
            </w:r>
          </w:p>
        </w:tc>
        <w:tc>
          <w:tcPr>
            <w:tcW w:w="27.85pt" w:type="dxa"/>
            <w:tcBorders>
              <w:top w:val="nil"/>
              <w:start w:val="nil"/>
              <w:bottom w:val="nil"/>
              <w:end w:val="nil"/>
            </w:tcBorders>
            <w:shd w:val="clear" w:color="auto" w:fill="auto"/>
            <w:noWrap/>
            <w:vAlign w:val="center"/>
            <w:hideMark/>
          </w:tcPr>
          <w:p w14:paraId="67082AC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96</w:t>
            </w:r>
          </w:p>
        </w:tc>
        <w:tc>
          <w:tcPr>
            <w:tcW w:w="30.55pt" w:type="dxa"/>
            <w:tcBorders>
              <w:top w:val="nil"/>
              <w:start w:val="nil"/>
              <w:bottom w:val="nil"/>
              <w:end w:val="nil"/>
            </w:tcBorders>
            <w:shd w:val="clear" w:color="auto" w:fill="auto"/>
            <w:noWrap/>
            <w:vAlign w:val="center"/>
            <w:hideMark/>
          </w:tcPr>
          <w:p w14:paraId="3F5E34A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27.4</w:t>
            </w:r>
          </w:p>
        </w:tc>
        <w:tc>
          <w:tcPr>
            <w:tcW w:w="27.85pt" w:type="dxa"/>
            <w:tcBorders>
              <w:top w:val="nil"/>
              <w:start w:val="nil"/>
              <w:bottom w:val="nil"/>
              <w:end w:val="nil"/>
            </w:tcBorders>
            <w:shd w:val="clear" w:color="auto" w:fill="auto"/>
            <w:noWrap/>
            <w:vAlign w:val="center"/>
            <w:hideMark/>
          </w:tcPr>
          <w:p w14:paraId="1C16465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85</w:t>
            </w:r>
          </w:p>
        </w:tc>
        <w:tc>
          <w:tcPr>
            <w:tcW w:w="30.55pt" w:type="dxa"/>
            <w:tcBorders>
              <w:top w:val="nil"/>
              <w:start w:val="nil"/>
              <w:bottom w:val="nil"/>
              <w:end w:val="nil"/>
            </w:tcBorders>
            <w:shd w:val="clear" w:color="auto" w:fill="auto"/>
            <w:noWrap/>
            <w:vAlign w:val="center"/>
            <w:hideMark/>
          </w:tcPr>
          <w:p w14:paraId="1D94DAB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24.3</w:t>
            </w:r>
          </w:p>
        </w:tc>
        <w:tc>
          <w:tcPr>
            <w:tcW w:w="27.85pt" w:type="dxa"/>
            <w:tcBorders>
              <w:top w:val="nil"/>
              <w:start w:val="nil"/>
              <w:bottom w:val="nil"/>
              <w:end w:val="nil"/>
            </w:tcBorders>
            <w:shd w:val="clear" w:color="auto" w:fill="auto"/>
            <w:noWrap/>
            <w:vAlign w:val="center"/>
            <w:hideMark/>
          </w:tcPr>
          <w:p w14:paraId="7296411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79</w:t>
            </w:r>
          </w:p>
        </w:tc>
        <w:tc>
          <w:tcPr>
            <w:tcW w:w="30.55pt" w:type="dxa"/>
            <w:tcBorders>
              <w:top w:val="nil"/>
              <w:start w:val="nil"/>
              <w:bottom w:val="nil"/>
              <w:end w:val="nil"/>
            </w:tcBorders>
            <w:shd w:val="clear" w:color="auto" w:fill="auto"/>
            <w:noWrap/>
            <w:vAlign w:val="center"/>
            <w:hideMark/>
          </w:tcPr>
          <w:p w14:paraId="094B0CA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22.6</w:t>
            </w:r>
          </w:p>
        </w:tc>
        <w:tc>
          <w:tcPr>
            <w:tcW w:w="27.85pt" w:type="dxa"/>
            <w:tcBorders>
              <w:top w:val="nil"/>
              <w:start w:val="nil"/>
              <w:bottom w:val="nil"/>
              <w:end w:val="nil"/>
            </w:tcBorders>
            <w:shd w:val="clear" w:color="auto" w:fill="auto"/>
            <w:noWrap/>
            <w:vAlign w:val="center"/>
            <w:hideMark/>
          </w:tcPr>
          <w:p w14:paraId="1F32517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81</w:t>
            </w:r>
          </w:p>
        </w:tc>
        <w:tc>
          <w:tcPr>
            <w:tcW w:w="30.55pt" w:type="dxa"/>
            <w:tcBorders>
              <w:top w:val="nil"/>
              <w:start w:val="nil"/>
              <w:bottom w:val="nil"/>
              <w:end w:val="nil"/>
            </w:tcBorders>
            <w:shd w:val="clear" w:color="auto" w:fill="auto"/>
            <w:noWrap/>
            <w:vAlign w:val="center"/>
            <w:hideMark/>
          </w:tcPr>
          <w:p w14:paraId="686B3AE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23.1</w:t>
            </w:r>
          </w:p>
        </w:tc>
        <w:tc>
          <w:tcPr>
            <w:tcW w:w="27.85pt" w:type="dxa"/>
            <w:tcBorders>
              <w:top w:val="nil"/>
              <w:start w:val="nil"/>
              <w:bottom w:val="nil"/>
              <w:end w:val="nil"/>
            </w:tcBorders>
            <w:shd w:val="clear" w:color="auto" w:fill="auto"/>
            <w:noWrap/>
            <w:vAlign w:val="center"/>
            <w:hideMark/>
          </w:tcPr>
          <w:p w14:paraId="74BFD4D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78</w:t>
            </w:r>
          </w:p>
        </w:tc>
        <w:tc>
          <w:tcPr>
            <w:tcW w:w="30.55pt" w:type="dxa"/>
            <w:tcBorders>
              <w:top w:val="nil"/>
              <w:start w:val="nil"/>
              <w:bottom w:val="nil"/>
              <w:end w:val="nil"/>
            </w:tcBorders>
            <w:shd w:val="clear" w:color="auto" w:fill="auto"/>
            <w:noWrap/>
            <w:vAlign w:val="center"/>
            <w:hideMark/>
          </w:tcPr>
          <w:p w14:paraId="7E54E78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22.3</w:t>
            </w:r>
          </w:p>
        </w:tc>
        <w:tc>
          <w:tcPr>
            <w:tcW w:w="27.85pt" w:type="dxa"/>
            <w:tcBorders>
              <w:top w:val="nil"/>
              <w:start w:val="nil"/>
              <w:bottom w:val="nil"/>
              <w:end w:val="nil"/>
            </w:tcBorders>
            <w:shd w:val="clear" w:color="auto" w:fill="auto"/>
            <w:noWrap/>
            <w:vAlign w:val="center"/>
            <w:hideMark/>
          </w:tcPr>
          <w:p w14:paraId="1A4466A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78</w:t>
            </w:r>
          </w:p>
        </w:tc>
        <w:tc>
          <w:tcPr>
            <w:tcW w:w="30.55pt" w:type="dxa"/>
            <w:tcBorders>
              <w:top w:val="nil"/>
              <w:start w:val="nil"/>
              <w:bottom w:val="nil"/>
              <w:end w:val="nil"/>
            </w:tcBorders>
            <w:shd w:val="clear" w:color="auto" w:fill="auto"/>
            <w:noWrap/>
            <w:vAlign w:val="center"/>
            <w:hideMark/>
          </w:tcPr>
          <w:p w14:paraId="4D2267A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22.3</w:t>
            </w:r>
          </w:p>
        </w:tc>
      </w:tr>
      <w:tr w:rsidR="00E845CC" w:rsidRPr="008A1537" w14:paraId="39822A68" w14:textId="77777777" w:rsidTr="008A1537">
        <w:trPr>
          <w:trHeight w:val="348"/>
          <w:jc w:val="center"/>
        </w:trPr>
        <w:tc>
          <w:tcPr>
            <w:tcW w:w="66.25pt" w:type="dxa"/>
            <w:tcBorders>
              <w:top w:val="nil"/>
              <w:start w:val="nil"/>
              <w:bottom w:val="nil"/>
              <w:end w:val="nil"/>
            </w:tcBorders>
            <w:shd w:val="clear" w:color="auto" w:fill="auto"/>
            <w:vAlign w:val="center"/>
            <w:hideMark/>
          </w:tcPr>
          <w:p w14:paraId="4E3D3FC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Grave</w:t>
            </w:r>
          </w:p>
        </w:tc>
        <w:tc>
          <w:tcPr>
            <w:tcW w:w="33pt" w:type="dxa"/>
            <w:tcBorders>
              <w:top w:val="nil"/>
              <w:start w:val="nil"/>
              <w:bottom w:val="nil"/>
              <w:end w:val="nil"/>
            </w:tcBorders>
            <w:shd w:val="clear" w:color="auto" w:fill="auto"/>
            <w:noWrap/>
            <w:vAlign w:val="center"/>
            <w:hideMark/>
          </w:tcPr>
          <w:p w14:paraId="1EC3872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174</w:t>
            </w:r>
          </w:p>
        </w:tc>
        <w:tc>
          <w:tcPr>
            <w:tcW w:w="36.25pt" w:type="dxa"/>
            <w:tcBorders>
              <w:top w:val="nil"/>
              <w:start w:val="nil"/>
              <w:bottom w:val="nil"/>
              <w:end w:val="nil"/>
            </w:tcBorders>
            <w:shd w:val="clear" w:color="auto" w:fill="auto"/>
            <w:noWrap/>
            <w:vAlign w:val="center"/>
            <w:hideMark/>
          </w:tcPr>
          <w:p w14:paraId="4E2504A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49.7</w:t>
            </w:r>
          </w:p>
        </w:tc>
        <w:tc>
          <w:tcPr>
            <w:tcW w:w="27.85pt" w:type="dxa"/>
            <w:tcBorders>
              <w:top w:val="nil"/>
              <w:start w:val="nil"/>
              <w:bottom w:val="nil"/>
              <w:end w:val="nil"/>
            </w:tcBorders>
            <w:shd w:val="clear" w:color="auto" w:fill="auto"/>
            <w:noWrap/>
            <w:vAlign w:val="center"/>
            <w:hideMark/>
          </w:tcPr>
          <w:p w14:paraId="7D2FCBC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186</w:t>
            </w:r>
          </w:p>
        </w:tc>
        <w:tc>
          <w:tcPr>
            <w:tcW w:w="30.55pt" w:type="dxa"/>
            <w:tcBorders>
              <w:top w:val="nil"/>
              <w:start w:val="nil"/>
              <w:bottom w:val="nil"/>
              <w:end w:val="nil"/>
            </w:tcBorders>
            <w:shd w:val="clear" w:color="auto" w:fill="auto"/>
            <w:noWrap/>
            <w:vAlign w:val="center"/>
            <w:hideMark/>
          </w:tcPr>
          <w:p w14:paraId="2DA8DCE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53.1</w:t>
            </w:r>
          </w:p>
        </w:tc>
        <w:tc>
          <w:tcPr>
            <w:tcW w:w="27.85pt" w:type="dxa"/>
            <w:tcBorders>
              <w:top w:val="nil"/>
              <w:start w:val="nil"/>
              <w:bottom w:val="nil"/>
              <w:end w:val="nil"/>
            </w:tcBorders>
            <w:shd w:val="clear" w:color="auto" w:fill="auto"/>
            <w:noWrap/>
            <w:vAlign w:val="center"/>
            <w:hideMark/>
          </w:tcPr>
          <w:p w14:paraId="422FFE8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198</w:t>
            </w:r>
          </w:p>
        </w:tc>
        <w:tc>
          <w:tcPr>
            <w:tcW w:w="30.55pt" w:type="dxa"/>
            <w:tcBorders>
              <w:top w:val="nil"/>
              <w:start w:val="nil"/>
              <w:bottom w:val="nil"/>
              <w:end w:val="nil"/>
            </w:tcBorders>
            <w:shd w:val="clear" w:color="auto" w:fill="auto"/>
            <w:noWrap/>
            <w:vAlign w:val="center"/>
            <w:hideMark/>
          </w:tcPr>
          <w:p w14:paraId="46458FF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56.6</w:t>
            </w:r>
          </w:p>
        </w:tc>
        <w:tc>
          <w:tcPr>
            <w:tcW w:w="27.85pt" w:type="dxa"/>
            <w:tcBorders>
              <w:top w:val="nil"/>
              <w:start w:val="nil"/>
              <w:bottom w:val="nil"/>
              <w:end w:val="nil"/>
            </w:tcBorders>
            <w:shd w:val="clear" w:color="auto" w:fill="auto"/>
            <w:noWrap/>
            <w:vAlign w:val="center"/>
            <w:hideMark/>
          </w:tcPr>
          <w:p w14:paraId="75B0AC4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210</w:t>
            </w:r>
          </w:p>
        </w:tc>
        <w:tc>
          <w:tcPr>
            <w:tcW w:w="30.55pt" w:type="dxa"/>
            <w:tcBorders>
              <w:top w:val="nil"/>
              <w:start w:val="nil"/>
              <w:bottom w:val="nil"/>
              <w:end w:val="nil"/>
            </w:tcBorders>
            <w:shd w:val="clear" w:color="auto" w:fill="auto"/>
            <w:noWrap/>
            <w:vAlign w:val="center"/>
            <w:hideMark/>
          </w:tcPr>
          <w:p w14:paraId="15CF014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60.0</w:t>
            </w:r>
          </w:p>
        </w:tc>
        <w:tc>
          <w:tcPr>
            <w:tcW w:w="27.85pt" w:type="dxa"/>
            <w:tcBorders>
              <w:top w:val="nil"/>
              <w:start w:val="nil"/>
              <w:bottom w:val="nil"/>
              <w:end w:val="nil"/>
            </w:tcBorders>
            <w:shd w:val="clear" w:color="auto" w:fill="auto"/>
            <w:noWrap/>
            <w:vAlign w:val="center"/>
            <w:hideMark/>
          </w:tcPr>
          <w:p w14:paraId="4171E69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216</w:t>
            </w:r>
          </w:p>
        </w:tc>
        <w:tc>
          <w:tcPr>
            <w:tcW w:w="30.55pt" w:type="dxa"/>
            <w:tcBorders>
              <w:top w:val="nil"/>
              <w:start w:val="nil"/>
              <w:bottom w:val="nil"/>
              <w:end w:val="nil"/>
            </w:tcBorders>
            <w:shd w:val="clear" w:color="auto" w:fill="auto"/>
            <w:noWrap/>
            <w:vAlign w:val="center"/>
            <w:hideMark/>
          </w:tcPr>
          <w:p w14:paraId="49A77C0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61.7</w:t>
            </w:r>
          </w:p>
        </w:tc>
        <w:tc>
          <w:tcPr>
            <w:tcW w:w="27.85pt" w:type="dxa"/>
            <w:tcBorders>
              <w:top w:val="nil"/>
              <w:start w:val="nil"/>
              <w:bottom w:val="nil"/>
              <w:end w:val="nil"/>
            </w:tcBorders>
            <w:shd w:val="clear" w:color="auto" w:fill="auto"/>
            <w:noWrap/>
            <w:vAlign w:val="center"/>
            <w:hideMark/>
          </w:tcPr>
          <w:p w14:paraId="394EF91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219</w:t>
            </w:r>
          </w:p>
        </w:tc>
        <w:tc>
          <w:tcPr>
            <w:tcW w:w="30.55pt" w:type="dxa"/>
            <w:tcBorders>
              <w:top w:val="nil"/>
              <w:start w:val="nil"/>
              <w:bottom w:val="nil"/>
              <w:end w:val="nil"/>
            </w:tcBorders>
            <w:shd w:val="clear" w:color="auto" w:fill="auto"/>
            <w:noWrap/>
            <w:vAlign w:val="center"/>
            <w:hideMark/>
          </w:tcPr>
          <w:p w14:paraId="25B665D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62.6</w:t>
            </w:r>
          </w:p>
        </w:tc>
        <w:tc>
          <w:tcPr>
            <w:tcW w:w="27.85pt" w:type="dxa"/>
            <w:tcBorders>
              <w:top w:val="nil"/>
              <w:start w:val="nil"/>
              <w:bottom w:val="nil"/>
              <w:end w:val="nil"/>
            </w:tcBorders>
            <w:shd w:val="clear" w:color="auto" w:fill="auto"/>
            <w:noWrap/>
            <w:vAlign w:val="center"/>
            <w:hideMark/>
          </w:tcPr>
          <w:p w14:paraId="616E6A7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219</w:t>
            </w:r>
          </w:p>
        </w:tc>
        <w:tc>
          <w:tcPr>
            <w:tcW w:w="30.55pt" w:type="dxa"/>
            <w:tcBorders>
              <w:top w:val="nil"/>
              <w:start w:val="nil"/>
              <w:bottom w:val="nil"/>
              <w:end w:val="nil"/>
            </w:tcBorders>
            <w:shd w:val="clear" w:color="auto" w:fill="auto"/>
            <w:noWrap/>
            <w:vAlign w:val="center"/>
            <w:hideMark/>
          </w:tcPr>
          <w:p w14:paraId="63F7EE6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62.6</w:t>
            </w:r>
          </w:p>
        </w:tc>
      </w:tr>
      <w:tr w:rsidR="00E845CC" w:rsidRPr="008A1537" w14:paraId="029CEA13" w14:textId="77777777" w:rsidTr="008A1537">
        <w:trPr>
          <w:trHeight w:val="348"/>
          <w:jc w:val="center"/>
        </w:trPr>
        <w:tc>
          <w:tcPr>
            <w:tcW w:w="66.25pt" w:type="dxa"/>
            <w:tcBorders>
              <w:top w:val="single" w:sz="4" w:space="0" w:color="auto"/>
              <w:start w:val="nil"/>
              <w:bottom w:val="single" w:sz="4" w:space="0" w:color="auto"/>
              <w:end w:val="nil"/>
            </w:tcBorders>
            <w:shd w:val="clear" w:color="auto" w:fill="auto"/>
            <w:vAlign w:val="center"/>
            <w:hideMark/>
          </w:tcPr>
          <w:p w14:paraId="51A19FB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Total</w:t>
            </w:r>
          </w:p>
        </w:tc>
        <w:tc>
          <w:tcPr>
            <w:tcW w:w="33pt" w:type="dxa"/>
            <w:tcBorders>
              <w:top w:val="single" w:sz="4" w:space="0" w:color="auto"/>
              <w:start w:val="nil"/>
              <w:bottom w:val="single" w:sz="4" w:space="0" w:color="auto"/>
              <w:end w:val="nil"/>
            </w:tcBorders>
            <w:shd w:val="clear" w:color="auto" w:fill="auto"/>
            <w:noWrap/>
            <w:vAlign w:val="center"/>
            <w:hideMark/>
          </w:tcPr>
          <w:p w14:paraId="4078F15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36.25pt" w:type="dxa"/>
            <w:tcBorders>
              <w:top w:val="single" w:sz="4" w:space="0" w:color="auto"/>
              <w:start w:val="nil"/>
              <w:bottom w:val="single" w:sz="4" w:space="0" w:color="auto"/>
              <w:end w:val="nil"/>
            </w:tcBorders>
            <w:shd w:val="clear" w:color="auto" w:fill="auto"/>
            <w:noWrap/>
            <w:vAlign w:val="center"/>
            <w:hideMark/>
          </w:tcPr>
          <w:p w14:paraId="7ACF89D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c>
          <w:tcPr>
            <w:tcW w:w="27.85pt" w:type="dxa"/>
            <w:tcBorders>
              <w:top w:val="single" w:sz="4" w:space="0" w:color="auto"/>
              <w:start w:val="nil"/>
              <w:bottom w:val="single" w:sz="4" w:space="0" w:color="auto"/>
              <w:end w:val="nil"/>
            </w:tcBorders>
            <w:shd w:val="clear" w:color="auto" w:fill="auto"/>
            <w:noWrap/>
            <w:vAlign w:val="center"/>
            <w:hideMark/>
          </w:tcPr>
          <w:p w14:paraId="06E80B4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30.55pt" w:type="dxa"/>
            <w:tcBorders>
              <w:top w:val="single" w:sz="4" w:space="0" w:color="auto"/>
              <w:start w:val="nil"/>
              <w:bottom w:val="single" w:sz="4" w:space="0" w:color="auto"/>
              <w:end w:val="nil"/>
            </w:tcBorders>
            <w:shd w:val="clear" w:color="auto" w:fill="auto"/>
            <w:noWrap/>
            <w:vAlign w:val="center"/>
            <w:hideMark/>
          </w:tcPr>
          <w:p w14:paraId="0F04396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c>
          <w:tcPr>
            <w:tcW w:w="27.85pt" w:type="dxa"/>
            <w:tcBorders>
              <w:top w:val="single" w:sz="4" w:space="0" w:color="auto"/>
              <w:start w:val="nil"/>
              <w:bottom w:val="single" w:sz="4" w:space="0" w:color="auto"/>
              <w:end w:val="nil"/>
            </w:tcBorders>
            <w:shd w:val="clear" w:color="auto" w:fill="auto"/>
            <w:noWrap/>
            <w:vAlign w:val="center"/>
            <w:hideMark/>
          </w:tcPr>
          <w:p w14:paraId="301A927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30.55pt" w:type="dxa"/>
            <w:tcBorders>
              <w:top w:val="single" w:sz="4" w:space="0" w:color="auto"/>
              <w:start w:val="nil"/>
              <w:bottom w:val="single" w:sz="4" w:space="0" w:color="auto"/>
              <w:end w:val="nil"/>
            </w:tcBorders>
            <w:shd w:val="clear" w:color="auto" w:fill="auto"/>
            <w:noWrap/>
            <w:vAlign w:val="center"/>
            <w:hideMark/>
          </w:tcPr>
          <w:p w14:paraId="067095C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c>
          <w:tcPr>
            <w:tcW w:w="27.85pt" w:type="dxa"/>
            <w:tcBorders>
              <w:top w:val="single" w:sz="4" w:space="0" w:color="auto"/>
              <w:start w:val="nil"/>
              <w:bottom w:val="single" w:sz="4" w:space="0" w:color="auto"/>
              <w:end w:val="nil"/>
            </w:tcBorders>
            <w:shd w:val="clear" w:color="auto" w:fill="auto"/>
            <w:noWrap/>
            <w:vAlign w:val="center"/>
            <w:hideMark/>
          </w:tcPr>
          <w:p w14:paraId="282DB00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30.55pt" w:type="dxa"/>
            <w:tcBorders>
              <w:top w:val="single" w:sz="4" w:space="0" w:color="auto"/>
              <w:start w:val="nil"/>
              <w:bottom w:val="single" w:sz="4" w:space="0" w:color="auto"/>
              <w:end w:val="nil"/>
            </w:tcBorders>
            <w:shd w:val="clear" w:color="auto" w:fill="auto"/>
            <w:noWrap/>
            <w:vAlign w:val="center"/>
            <w:hideMark/>
          </w:tcPr>
          <w:p w14:paraId="7BC6EF1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c>
          <w:tcPr>
            <w:tcW w:w="27.85pt" w:type="dxa"/>
            <w:tcBorders>
              <w:top w:val="single" w:sz="4" w:space="0" w:color="auto"/>
              <w:start w:val="nil"/>
              <w:bottom w:val="single" w:sz="4" w:space="0" w:color="auto"/>
              <w:end w:val="nil"/>
            </w:tcBorders>
            <w:shd w:val="clear" w:color="auto" w:fill="auto"/>
            <w:noWrap/>
            <w:vAlign w:val="center"/>
            <w:hideMark/>
          </w:tcPr>
          <w:p w14:paraId="19CFD49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30.55pt" w:type="dxa"/>
            <w:tcBorders>
              <w:top w:val="single" w:sz="4" w:space="0" w:color="auto"/>
              <w:start w:val="nil"/>
              <w:bottom w:val="single" w:sz="4" w:space="0" w:color="auto"/>
              <w:end w:val="nil"/>
            </w:tcBorders>
            <w:shd w:val="clear" w:color="auto" w:fill="auto"/>
            <w:noWrap/>
            <w:vAlign w:val="center"/>
            <w:hideMark/>
          </w:tcPr>
          <w:p w14:paraId="551BB9B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c>
          <w:tcPr>
            <w:tcW w:w="27.85pt" w:type="dxa"/>
            <w:tcBorders>
              <w:top w:val="single" w:sz="4" w:space="0" w:color="auto"/>
              <w:start w:val="nil"/>
              <w:bottom w:val="single" w:sz="4" w:space="0" w:color="auto"/>
              <w:end w:val="nil"/>
            </w:tcBorders>
            <w:shd w:val="clear" w:color="auto" w:fill="auto"/>
            <w:noWrap/>
            <w:vAlign w:val="center"/>
            <w:hideMark/>
          </w:tcPr>
          <w:p w14:paraId="23B15E6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30.55pt" w:type="dxa"/>
            <w:tcBorders>
              <w:top w:val="single" w:sz="4" w:space="0" w:color="auto"/>
              <w:start w:val="nil"/>
              <w:bottom w:val="single" w:sz="4" w:space="0" w:color="auto"/>
              <w:end w:val="nil"/>
            </w:tcBorders>
            <w:shd w:val="clear" w:color="auto" w:fill="auto"/>
            <w:noWrap/>
            <w:vAlign w:val="center"/>
            <w:hideMark/>
          </w:tcPr>
          <w:p w14:paraId="6680627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c>
          <w:tcPr>
            <w:tcW w:w="27.85pt" w:type="dxa"/>
            <w:tcBorders>
              <w:top w:val="single" w:sz="4" w:space="0" w:color="auto"/>
              <w:start w:val="nil"/>
              <w:bottom w:val="single" w:sz="4" w:space="0" w:color="auto"/>
              <w:end w:val="nil"/>
            </w:tcBorders>
            <w:shd w:val="clear" w:color="auto" w:fill="auto"/>
            <w:noWrap/>
            <w:vAlign w:val="center"/>
            <w:hideMark/>
          </w:tcPr>
          <w:p w14:paraId="664EA4D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30.55pt" w:type="dxa"/>
            <w:tcBorders>
              <w:top w:val="single" w:sz="4" w:space="0" w:color="auto"/>
              <w:start w:val="nil"/>
              <w:bottom w:val="single" w:sz="4" w:space="0" w:color="auto"/>
              <w:end w:val="nil"/>
            </w:tcBorders>
            <w:shd w:val="clear" w:color="auto" w:fill="auto"/>
            <w:noWrap/>
            <w:vAlign w:val="center"/>
            <w:hideMark/>
          </w:tcPr>
          <w:p w14:paraId="72174AC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r>
    </w:tbl>
    <w:p w14:paraId="58CC817D"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p>
    <w:p w14:paraId="38908728"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El análisis descriptivo de los ítems de infracciones laborales, se presenta en la Tabla 5, donde se describen los resultados de la valoración de las infracciones incumplidas por los comerciantes como: normal, leve, de consideración y grave. En este sentido se puede observar el incumplimiento de  normas laborales por cada ítem en la mayoría de comerciantes consideran un falta “grave”, donde : No pagar remuneración mínima vital del 49.7% con una infracción “grave”, no otorgar descanso semanal del 53.1% con una infracción “grave”, no dar vacaciones, del 56.6% con una infracción “grave”, no inscribir al seguro social del  60%  con una infracción “grave”, no pagar sobre tiempo del 61.7% con una infracción “grave”, no respetar la jornada de 8 horas del 62.6% con una infracción “grave”, y por ultimo no realizar un pago diferido por feriados, del 62.6% con una infracción “grave”. </w:t>
      </w:r>
    </w:p>
    <w:p w14:paraId="1B9DE5D8"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De esta manera se puede entender que la valoración hacia las infracciones laborales es más sensible dentro de los comerciantes de la ciudad de Lima, en relación a las infracciones tributarias. </w:t>
      </w:r>
    </w:p>
    <w:p w14:paraId="4B9DDBDB"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r w:rsidRPr="00E845CC">
        <w:rPr>
          <w:rFonts w:ascii="Times New Roman" w:hAnsi="Times New Roman" w:cs="Times New Roman"/>
          <w:b/>
          <w:bCs/>
          <w:lang w:val="es-PE"/>
        </w:rPr>
        <w:t>Tabla 6</w:t>
      </w:r>
    </w:p>
    <w:p w14:paraId="02083B27"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i/>
          <w:iCs/>
          <w:lang w:val="es-PE"/>
        </w:rPr>
      </w:pPr>
      <w:r w:rsidRPr="00E845CC">
        <w:rPr>
          <w:rFonts w:ascii="Times New Roman" w:hAnsi="Times New Roman" w:cs="Times New Roman"/>
          <w:i/>
          <w:iCs/>
          <w:lang w:val="es-PE"/>
        </w:rPr>
        <w:t>Valoración de las infracciones laborales según el régimen tributario</w:t>
      </w:r>
    </w:p>
    <w:tbl>
      <w:tblPr>
        <w:tblW w:w="482.40pt" w:type="dxa"/>
        <w:jc w:val="center"/>
        <w:tblCellMar>
          <w:start w:w="3.50pt" w:type="dxa"/>
          <w:end w:w="3.50pt" w:type="dxa"/>
        </w:tblCellMar>
        <w:tblLook w:firstRow="1" w:lastRow="0" w:firstColumn="1" w:lastColumn="0" w:noHBand="0" w:noVBand="1"/>
      </w:tblPr>
      <w:tblGrid>
        <w:gridCol w:w="1034"/>
        <w:gridCol w:w="807"/>
        <w:gridCol w:w="943"/>
        <w:gridCol w:w="943"/>
        <w:gridCol w:w="1047"/>
        <w:gridCol w:w="943"/>
        <w:gridCol w:w="1047"/>
        <w:gridCol w:w="943"/>
        <w:gridCol w:w="1047"/>
        <w:gridCol w:w="943"/>
      </w:tblGrid>
      <w:tr w:rsidR="00E845CC" w:rsidRPr="008A1537" w14:paraId="5903489F" w14:textId="77777777" w:rsidTr="008A1537">
        <w:trPr>
          <w:trHeight w:val="327"/>
          <w:jc w:val="center"/>
        </w:trPr>
        <w:tc>
          <w:tcPr>
            <w:tcW w:w="104.85pt" w:type="dxa"/>
            <w:gridSpan w:val="2"/>
            <w:vMerge w:val="restart"/>
            <w:tcBorders>
              <w:top w:val="single" w:sz="4" w:space="0" w:color="auto"/>
              <w:start w:val="nil"/>
              <w:bottom w:val="single" w:sz="4" w:space="0" w:color="000000"/>
              <w:end w:val="nil"/>
            </w:tcBorders>
            <w:shd w:val="clear" w:color="auto" w:fill="auto"/>
            <w:vAlign w:val="center"/>
            <w:hideMark/>
          </w:tcPr>
          <w:p w14:paraId="10D1EB7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w:t>
            </w:r>
          </w:p>
        </w:tc>
        <w:tc>
          <w:tcPr>
            <w:tcW w:w="377.55pt" w:type="dxa"/>
            <w:gridSpan w:val="8"/>
            <w:tcBorders>
              <w:top w:val="single" w:sz="4" w:space="0" w:color="auto"/>
              <w:start w:val="nil"/>
              <w:bottom w:val="nil"/>
              <w:end w:val="nil"/>
            </w:tcBorders>
            <w:shd w:val="clear" w:color="auto" w:fill="auto"/>
            <w:vAlign w:val="center"/>
            <w:hideMark/>
          </w:tcPr>
          <w:p w14:paraId="6041D7D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Infracciones laborales</w:t>
            </w:r>
          </w:p>
        </w:tc>
      </w:tr>
      <w:tr w:rsidR="00E845CC" w:rsidRPr="008A1537" w14:paraId="05BF6EB2" w14:textId="77777777" w:rsidTr="008A1537">
        <w:trPr>
          <w:trHeight w:val="327"/>
          <w:jc w:val="center"/>
        </w:trPr>
        <w:tc>
          <w:tcPr>
            <w:tcW w:w="104.85pt" w:type="dxa"/>
            <w:gridSpan w:val="2"/>
            <w:vMerge/>
            <w:tcBorders>
              <w:top w:val="single" w:sz="4" w:space="0" w:color="auto"/>
              <w:start w:val="nil"/>
              <w:bottom w:val="single" w:sz="4" w:space="0" w:color="000000"/>
              <w:end w:val="nil"/>
            </w:tcBorders>
            <w:vAlign w:val="center"/>
            <w:hideMark/>
          </w:tcPr>
          <w:p w14:paraId="6E05E7F5" w14:textId="77777777" w:rsidR="00E845CC" w:rsidRPr="008A1537" w:rsidRDefault="00E845CC" w:rsidP="008A1537">
            <w:pPr>
              <w:rPr>
                <w:rFonts w:ascii="Times New Roman" w:hAnsi="Times New Roman" w:cs="Times New Roman"/>
              </w:rPr>
            </w:pPr>
          </w:p>
        </w:tc>
        <w:tc>
          <w:tcPr>
            <w:tcW w:w="94.35pt" w:type="dxa"/>
            <w:gridSpan w:val="2"/>
            <w:tcBorders>
              <w:top w:val="nil"/>
              <w:start w:val="nil"/>
              <w:bottom w:val="nil"/>
              <w:end w:val="nil"/>
            </w:tcBorders>
            <w:shd w:val="clear" w:color="auto" w:fill="auto"/>
            <w:vAlign w:val="center"/>
            <w:hideMark/>
          </w:tcPr>
          <w:p w14:paraId="73A086E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Normal</w:t>
            </w:r>
          </w:p>
        </w:tc>
        <w:tc>
          <w:tcPr>
            <w:tcW w:w="94.35pt" w:type="dxa"/>
            <w:gridSpan w:val="2"/>
            <w:tcBorders>
              <w:top w:val="nil"/>
              <w:start w:val="nil"/>
              <w:bottom w:val="nil"/>
              <w:end w:val="nil"/>
            </w:tcBorders>
            <w:shd w:val="clear" w:color="auto" w:fill="auto"/>
            <w:vAlign w:val="center"/>
            <w:hideMark/>
          </w:tcPr>
          <w:p w14:paraId="70654C1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Leve</w:t>
            </w:r>
          </w:p>
        </w:tc>
        <w:tc>
          <w:tcPr>
            <w:tcW w:w="94.35pt" w:type="dxa"/>
            <w:gridSpan w:val="2"/>
            <w:tcBorders>
              <w:top w:val="nil"/>
              <w:start w:val="nil"/>
              <w:bottom w:val="nil"/>
              <w:end w:val="nil"/>
            </w:tcBorders>
            <w:shd w:val="clear" w:color="auto" w:fill="auto"/>
            <w:vAlign w:val="center"/>
            <w:hideMark/>
          </w:tcPr>
          <w:p w14:paraId="7924593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De consideración</w:t>
            </w:r>
          </w:p>
        </w:tc>
        <w:tc>
          <w:tcPr>
            <w:tcW w:w="94.35pt" w:type="dxa"/>
            <w:gridSpan w:val="2"/>
            <w:tcBorders>
              <w:top w:val="nil"/>
              <w:start w:val="nil"/>
              <w:bottom w:val="nil"/>
              <w:end w:val="nil"/>
            </w:tcBorders>
            <w:shd w:val="clear" w:color="auto" w:fill="auto"/>
            <w:vAlign w:val="center"/>
            <w:hideMark/>
          </w:tcPr>
          <w:p w14:paraId="02800EA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Grave</w:t>
            </w:r>
          </w:p>
        </w:tc>
      </w:tr>
      <w:tr w:rsidR="00E845CC" w:rsidRPr="008A1537" w14:paraId="351106C2" w14:textId="77777777" w:rsidTr="008A1537">
        <w:trPr>
          <w:trHeight w:val="523"/>
          <w:jc w:val="center"/>
        </w:trPr>
        <w:tc>
          <w:tcPr>
            <w:tcW w:w="104.85pt" w:type="dxa"/>
            <w:gridSpan w:val="2"/>
            <w:vMerge/>
            <w:tcBorders>
              <w:top w:val="single" w:sz="4" w:space="0" w:color="auto"/>
              <w:start w:val="nil"/>
              <w:bottom w:val="single" w:sz="4" w:space="0" w:color="000000"/>
              <w:end w:val="nil"/>
            </w:tcBorders>
            <w:vAlign w:val="center"/>
            <w:hideMark/>
          </w:tcPr>
          <w:p w14:paraId="1C065B77" w14:textId="77777777" w:rsidR="00E845CC" w:rsidRPr="008A1537" w:rsidRDefault="00E845CC" w:rsidP="008A1537">
            <w:pPr>
              <w:rPr>
                <w:rFonts w:ascii="Times New Roman" w:hAnsi="Times New Roman" w:cs="Times New Roman"/>
              </w:rPr>
            </w:pPr>
          </w:p>
        </w:tc>
        <w:tc>
          <w:tcPr>
            <w:tcW w:w="47.15pt" w:type="dxa"/>
            <w:tcBorders>
              <w:top w:val="nil"/>
              <w:start w:val="nil"/>
              <w:bottom w:val="single" w:sz="4" w:space="0" w:color="auto"/>
              <w:end w:val="nil"/>
            </w:tcBorders>
            <w:shd w:val="clear" w:color="auto" w:fill="auto"/>
            <w:vAlign w:val="center"/>
            <w:hideMark/>
          </w:tcPr>
          <w:p w14:paraId="3AEFA29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w:t>
            </w:r>
          </w:p>
        </w:tc>
        <w:tc>
          <w:tcPr>
            <w:tcW w:w="47.15pt" w:type="dxa"/>
            <w:tcBorders>
              <w:top w:val="nil"/>
              <w:start w:val="nil"/>
              <w:bottom w:val="single" w:sz="4" w:space="0" w:color="auto"/>
              <w:end w:val="nil"/>
            </w:tcBorders>
            <w:shd w:val="clear" w:color="auto" w:fill="auto"/>
            <w:vAlign w:val="center"/>
            <w:hideMark/>
          </w:tcPr>
          <w:p w14:paraId="163C3DB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c>
          <w:tcPr>
            <w:tcW w:w="47.15pt" w:type="dxa"/>
            <w:tcBorders>
              <w:top w:val="nil"/>
              <w:start w:val="nil"/>
              <w:bottom w:val="single" w:sz="4" w:space="0" w:color="auto"/>
              <w:end w:val="nil"/>
            </w:tcBorders>
            <w:shd w:val="clear" w:color="auto" w:fill="auto"/>
            <w:vAlign w:val="center"/>
            <w:hideMark/>
          </w:tcPr>
          <w:p w14:paraId="2017D3D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Recuento</w:t>
            </w:r>
          </w:p>
        </w:tc>
        <w:tc>
          <w:tcPr>
            <w:tcW w:w="47.15pt" w:type="dxa"/>
            <w:tcBorders>
              <w:top w:val="nil"/>
              <w:start w:val="nil"/>
              <w:bottom w:val="single" w:sz="4" w:space="0" w:color="auto"/>
              <w:end w:val="nil"/>
            </w:tcBorders>
            <w:shd w:val="clear" w:color="auto" w:fill="auto"/>
            <w:vAlign w:val="center"/>
            <w:hideMark/>
          </w:tcPr>
          <w:p w14:paraId="4D26DAD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c>
          <w:tcPr>
            <w:tcW w:w="47.15pt" w:type="dxa"/>
            <w:tcBorders>
              <w:top w:val="nil"/>
              <w:start w:val="nil"/>
              <w:bottom w:val="single" w:sz="4" w:space="0" w:color="auto"/>
              <w:end w:val="nil"/>
            </w:tcBorders>
            <w:shd w:val="clear" w:color="auto" w:fill="auto"/>
            <w:vAlign w:val="center"/>
            <w:hideMark/>
          </w:tcPr>
          <w:p w14:paraId="66A5332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Recuento</w:t>
            </w:r>
          </w:p>
        </w:tc>
        <w:tc>
          <w:tcPr>
            <w:tcW w:w="47.15pt" w:type="dxa"/>
            <w:tcBorders>
              <w:top w:val="nil"/>
              <w:start w:val="nil"/>
              <w:bottom w:val="single" w:sz="4" w:space="0" w:color="auto"/>
              <w:end w:val="nil"/>
            </w:tcBorders>
            <w:shd w:val="clear" w:color="auto" w:fill="auto"/>
            <w:vAlign w:val="center"/>
            <w:hideMark/>
          </w:tcPr>
          <w:p w14:paraId="6AA7637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c>
          <w:tcPr>
            <w:tcW w:w="47.15pt" w:type="dxa"/>
            <w:tcBorders>
              <w:top w:val="nil"/>
              <w:start w:val="nil"/>
              <w:bottom w:val="single" w:sz="4" w:space="0" w:color="auto"/>
              <w:end w:val="nil"/>
            </w:tcBorders>
            <w:shd w:val="clear" w:color="auto" w:fill="auto"/>
            <w:vAlign w:val="center"/>
            <w:hideMark/>
          </w:tcPr>
          <w:p w14:paraId="329F83F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Recuento</w:t>
            </w:r>
          </w:p>
        </w:tc>
        <w:tc>
          <w:tcPr>
            <w:tcW w:w="47.15pt" w:type="dxa"/>
            <w:tcBorders>
              <w:top w:val="nil"/>
              <w:start w:val="nil"/>
              <w:bottom w:val="single" w:sz="4" w:space="0" w:color="auto"/>
              <w:end w:val="nil"/>
            </w:tcBorders>
            <w:shd w:val="clear" w:color="auto" w:fill="auto"/>
            <w:vAlign w:val="center"/>
            <w:hideMark/>
          </w:tcPr>
          <w:p w14:paraId="2C96ED0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r>
      <w:tr w:rsidR="00E845CC" w:rsidRPr="008A1537" w14:paraId="0F2A0896" w14:textId="77777777" w:rsidTr="008A1537">
        <w:trPr>
          <w:trHeight w:val="327"/>
          <w:jc w:val="center"/>
        </w:trPr>
        <w:tc>
          <w:tcPr>
            <w:tcW w:w="52.40pt" w:type="dxa"/>
            <w:vMerge w:val="restart"/>
            <w:tcBorders>
              <w:top w:val="nil"/>
              <w:start w:val="nil"/>
              <w:bottom w:val="single" w:sz="4" w:space="0" w:color="000000"/>
              <w:end w:val="nil"/>
            </w:tcBorders>
            <w:shd w:val="clear" w:color="auto" w:fill="auto"/>
            <w:vAlign w:val="center"/>
            <w:hideMark/>
          </w:tcPr>
          <w:p w14:paraId="693CFDB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Régimen tributario</w:t>
            </w:r>
          </w:p>
        </w:tc>
        <w:tc>
          <w:tcPr>
            <w:tcW w:w="52.40pt" w:type="dxa"/>
            <w:tcBorders>
              <w:top w:val="nil"/>
              <w:start w:val="nil"/>
              <w:bottom w:val="nil"/>
              <w:end w:val="nil"/>
            </w:tcBorders>
            <w:shd w:val="clear" w:color="auto" w:fill="auto"/>
            <w:vAlign w:val="center"/>
            <w:hideMark/>
          </w:tcPr>
          <w:p w14:paraId="63DD588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NRUS</w:t>
            </w:r>
          </w:p>
        </w:tc>
        <w:tc>
          <w:tcPr>
            <w:tcW w:w="47.15pt" w:type="dxa"/>
            <w:tcBorders>
              <w:top w:val="nil"/>
              <w:start w:val="nil"/>
              <w:bottom w:val="nil"/>
              <w:end w:val="nil"/>
            </w:tcBorders>
            <w:shd w:val="clear" w:color="auto" w:fill="auto"/>
            <w:noWrap/>
            <w:vAlign w:val="center"/>
            <w:hideMark/>
          </w:tcPr>
          <w:p w14:paraId="3D99013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0</w:t>
            </w:r>
          </w:p>
        </w:tc>
        <w:tc>
          <w:tcPr>
            <w:tcW w:w="47.15pt" w:type="dxa"/>
            <w:tcBorders>
              <w:top w:val="nil"/>
              <w:start w:val="nil"/>
              <w:bottom w:val="nil"/>
              <w:end w:val="nil"/>
            </w:tcBorders>
            <w:shd w:val="clear" w:color="auto" w:fill="auto"/>
            <w:noWrap/>
            <w:vAlign w:val="center"/>
            <w:hideMark/>
          </w:tcPr>
          <w:p w14:paraId="31D159B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0.0%</w:t>
            </w:r>
          </w:p>
        </w:tc>
        <w:tc>
          <w:tcPr>
            <w:tcW w:w="47.15pt" w:type="dxa"/>
            <w:tcBorders>
              <w:top w:val="nil"/>
              <w:start w:val="nil"/>
              <w:bottom w:val="nil"/>
              <w:end w:val="nil"/>
            </w:tcBorders>
            <w:shd w:val="clear" w:color="auto" w:fill="auto"/>
            <w:noWrap/>
            <w:vAlign w:val="center"/>
            <w:hideMark/>
          </w:tcPr>
          <w:p w14:paraId="476C02D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w:t>
            </w:r>
          </w:p>
        </w:tc>
        <w:tc>
          <w:tcPr>
            <w:tcW w:w="47.15pt" w:type="dxa"/>
            <w:tcBorders>
              <w:top w:val="nil"/>
              <w:start w:val="nil"/>
              <w:bottom w:val="nil"/>
              <w:end w:val="nil"/>
            </w:tcBorders>
            <w:shd w:val="clear" w:color="auto" w:fill="auto"/>
            <w:noWrap/>
            <w:vAlign w:val="center"/>
            <w:hideMark/>
          </w:tcPr>
          <w:p w14:paraId="15B6F7B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4.7%</w:t>
            </w:r>
          </w:p>
        </w:tc>
        <w:tc>
          <w:tcPr>
            <w:tcW w:w="47.15pt" w:type="dxa"/>
            <w:tcBorders>
              <w:top w:val="nil"/>
              <w:start w:val="nil"/>
              <w:bottom w:val="nil"/>
              <w:end w:val="nil"/>
            </w:tcBorders>
            <w:shd w:val="clear" w:color="auto" w:fill="auto"/>
            <w:noWrap/>
            <w:vAlign w:val="center"/>
            <w:hideMark/>
          </w:tcPr>
          <w:p w14:paraId="274AAF2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13</w:t>
            </w:r>
          </w:p>
        </w:tc>
        <w:tc>
          <w:tcPr>
            <w:tcW w:w="47.15pt" w:type="dxa"/>
            <w:tcBorders>
              <w:top w:val="nil"/>
              <w:start w:val="nil"/>
              <w:bottom w:val="nil"/>
              <w:end w:val="nil"/>
            </w:tcBorders>
            <w:shd w:val="clear" w:color="auto" w:fill="auto"/>
            <w:noWrap/>
            <w:vAlign w:val="center"/>
            <w:hideMark/>
          </w:tcPr>
          <w:p w14:paraId="772E4C6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12.1%</w:t>
            </w:r>
          </w:p>
        </w:tc>
        <w:tc>
          <w:tcPr>
            <w:tcW w:w="47.15pt" w:type="dxa"/>
            <w:tcBorders>
              <w:top w:val="nil"/>
              <w:start w:val="nil"/>
              <w:bottom w:val="nil"/>
              <w:end w:val="nil"/>
            </w:tcBorders>
            <w:shd w:val="clear" w:color="auto" w:fill="auto"/>
            <w:noWrap/>
            <w:vAlign w:val="center"/>
            <w:hideMark/>
          </w:tcPr>
          <w:p w14:paraId="4636C29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89</w:t>
            </w:r>
          </w:p>
        </w:tc>
        <w:tc>
          <w:tcPr>
            <w:tcW w:w="47.15pt" w:type="dxa"/>
            <w:tcBorders>
              <w:top w:val="nil"/>
              <w:start w:val="nil"/>
              <w:bottom w:val="nil"/>
              <w:end w:val="nil"/>
            </w:tcBorders>
            <w:shd w:val="clear" w:color="auto" w:fill="auto"/>
            <w:noWrap/>
            <w:vAlign w:val="center"/>
            <w:hideMark/>
          </w:tcPr>
          <w:p w14:paraId="3DD428B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83.2%</w:t>
            </w:r>
          </w:p>
        </w:tc>
      </w:tr>
      <w:tr w:rsidR="00E845CC" w:rsidRPr="008A1537" w14:paraId="020C96EF" w14:textId="77777777" w:rsidTr="008A1537">
        <w:trPr>
          <w:trHeight w:val="327"/>
          <w:jc w:val="center"/>
        </w:trPr>
        <w:tc>
          <w:tcPr>
            <w:tcW w:w="52.40pt" w:type="dxa"/>
            <w:vMerge/>
            <w:tcBorders>
              <w:top w:val="nil"/>
              <w:start w:val="nil"/>
              <w:bottom w:val="single" w:sz="4" w:space="0" w:color="000000"/>
              <w:end w:val="nil"/>
            </w:tcBorders>
            <w:vAlign w:val="center"/>
            <w:hideMark/>
          </w:tcPr>
          <w:p w14:paraId="5A9826C0" w14:textId="77777777" w:rsidR="00E845CC" w:rsidRPr="008A1537" w:rsidRDefault="00E845CC" w:rsidP="008A1537">
            <w:pPr>
              <w:rPr>
                <w:rFonts w:ascii="Times New Roman" w:hAnsi="Times New Roman" w:cs="Times New Roman"/>
              </w:rPr>
            </w:pPr>
          </w:p>
        </w:tc>
        <w:tc>
          <w:tcPr>
            <w:tcW w:w="52.40pt" w:type="dxa"/>
            <w:tcBorders>
              <w:top w:val="nil"/>
              <w:start w:val="nil"/>
              <w:bottom w:val="nil"/>
              <w:end w:val="nil"/>
            </w:tcBorders>
            <w:shd w:val="clear" w:color="auto" w:fill="auto"/>
            <w:vAlign w:val="center"/>
            <w:hideMark/>
          </w:tcPr>
          <w:p w14:paraId="1A137FC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RER</w:t>
            </w:r>
          </w:p>
        </w:tc>
        <w:tc>
          <w:tcPr>
            <w:tcW w:w="47.15pt" w:type="dxa"/>
            <w:tcBorders>
              <w:top w:val="nil"/>
              <w:start w:val="nil"/>
              <w:bottom w:val="nil"/>
              <w:end w:val="nil"/>
            </w:tcBorders>
            <w:shd w:val="clear" w:color="auto" w:fill="auto"/>
            <w:noWrap/>
            <w:vAlign w:val="center"/>
            <w:hideMark/>
          </w:tcPr>
          <w:p w14:paraId="791A8C1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13</w:t>
            </w:r>
          </w:p>
        </w:tc>
        <w:tc>
          <w:tcPr>
            <w:tcW w:w="47.15pt" w:type="dxa"/>
            <w:tcBorders>
              <w:top w:val="nil"/>
              <w:start w:val="nil"/>
              <w:bottom w:val="nil"/>
              <w:end w:val="nil"/>
            </w:tcBorders>
            <w:shd w:val="clear" w:color="auto" w:fill="auto"/>
            <w:noWrap/>
            <w:vAlign w:val="center"/>
            <w:hideMark/>
          </w:tcPr>
          <w:p w14:paraId="0A7D96D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14.8%</w:t>
            </w:r>
          </w:p>
        </w:tc>
        <w:tc>
          <w:tcPr>
            <w:tcW w:w="47.15pt" w:type="dxa"/>
            <w:tcBorders>
              <w:top w:val="nil"/>
              <w:start w:val="nil"/>
              <w:bottom w:val="nil"/>
              <w:end w:val="nil"/>
            </w:tcBorders>
            <w:shd w:val="clear" w:color="auto" w:fill="auto"/>
            <w:noWrap/>
            <w:vAlign w:val="center"/>
            <w:hideMark/>
          </w:tcPr>
          <w:p w14:paraId="0F1178D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14</w:t>
            </w:r>
          </w:p>
        </w:tc>
        <w:tc>
          <w:tcPr>
            <w:tcW w:w="47.15pt" w:type="dxa"/>
            <w:tcBorders>
              <w:top w:val="nil"/>
              <w:start w:val="nil"/>
              <w:bottom w:val="nil"/>
              <w:end w:val="nil"/>
            </w:tcBorders>
            <w:shd w:val="clear" w:color="auto" w:fill="auto"/>
            <w:noWrap/>
            <w:vAlign w:val="center"/>
            <w:hideMark/>
          </w:tcPr>
          <w:p w14:paraId="2C54F6A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15.9%</w:t>
            </w:r>
          </w:p>
        </w:tc>
        <w:tc>
          <w:tcPr>
            <w:tcW w:w="47.15pt" w:type="dxa"/>
            <w:tcBorders>
              <w:top w:val="nil"/>
              <w:start w:val="nil"/>
              <w:bottom w:val="nil"/>
              <w:end w:val="nil"/>
            </w:tcBorders>
            <w:shd w:val="clear" w:color="auto" w:fill="auto"/>
            <w:noWrap/>
            <w:vAlign w:val="center"/>
            <w:hideMark/>
          </w:tcPr>
          <w:p w14:paraId="5286D01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21</w:t>
            </w:r>
          </w:p>
        </w:tc>
        <w:tc>
          <w:tcPr>
            <w:tcW w:w="47.15pt" w:type="dxa"/>
            <w:tcBorders>
              <w:top w:val="nil"/>
              <w:start w:val="nil"/>
              <w:bottom w:val="nil"/>
              <w:end w:val="nil"/>
            </w:tcBorders>
            <w:shd w:val="clear" w:color="auto" w:fill="auto"/>
            <w:noWrap/>
            <w:vAlign w:val="center"/>
            <w:hideMark/>
          </w:tcPr>
          <w:p w14:paraId="18E8D18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23.9%</w:t>
            </w:r>
          </w:p>
        </w:tc>
        <w:tc>
          <w:tcPr>
            <w:tcW w:w="47.15pt" w:type="dxa"/>
            <w:tcBorders>
              <w:top w:val="nil"/>
              <w:start w:val="nil"/>
              <w:bottom w:val="nil"/>
              <w:end w:val="nil"/>
            </w:tcBorders>
            <w:shd w:val="clear" w:color="auto" w:fill="auto"/>
            <w:noWrap/>
            <w:vAlign w:val="center"/>
            <w:hideMark/>
          </w:tcPr>
          <w:p w14:paraId="36BAE81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40</w:t>
            </w:r>
          </w:p>
        </w:tc>
        <w:tc>
          <w:tcPr>
            <w:tcW w:w="47.15pt" w:type="dxa"/>
            <w:tcBorders>
              <w:top w:val="nil"/>
              <w:start w:val="nil"/>
              <w:bottom w:val="nil"/>
              <w:end w:val="nil"/>
            </w:tcBorders>
            <w:shd w:val="clear" w:color="auto" w:fill="auto"/>
            <w:noWrap/>
            <w:vAlign w:val="center"/>
            <w:hideMark/>
          </w:tcPr>
          <w:p w14:paraId="3B67394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45.5%</w:t>
            </w:r>
          </w:p>
        </w:tc>
      </w:tr>
      <w:tr w:rsidR="00E845CC" w:rsidRPr="008A1537" w14:paraId="36677CD5" w14:textId="77777777" w:rsidTr="008A1537">
        <w:trPr>
          <w:trHeight w:val="327"/>
          <w:jc w:val="center"/>
        </w:trPr>
        <w:tc>
          <w:tcPr>
            <w:tcW w:w="52.40pt" w:type="dxa"/>
            <w:vMerge/>
            <w:tcBorders>
              <w:top w:val="nil"/>
              <w:start w:val="nil"/>
              <w:bottom w:val="single" w:sz="4" w:space="0" w:color="000000"/>
              <w:end w:val="nil"/>
            </w:tcBorders>
            <w:vAlign w:val="center"/>
            <w:hideMark/>
          </w:tcPr>
          <w:p w14:paraId="38070F43" w14:textId="77777777" w:rsidR="00E845CC" w:rsidRPr="008A1537" w:rsidRDefault="00E845CC" w:rsidP="008A1537">
            <w:pPr>
              <w:rPr>
                <w:rFonts w:ascii="Times New Roman" w:hAnsi="Times New Roman" w:cs="Times New Roman"/>
              </w:rPr>
            </w:pPr>
          </w:p>
        </w:tc>
        <w:tc>
          <w:tcPr>
            <w:tcW w:w="52.40pt" w:type="dxa"/>
            <w:tcBorders>
              <w:top w:val="nil"/>
              <w:start w:val="nil"/>
              <w:bottom w:val="nil"/>
              <w:end w:val="nil"/>
            </w:tcBorders>
            <w:shd w:val="clear" w:color="auto" w:fill="auto"/>
            <w:vAlign w:val="center"/>
            <w:hideMark/>
          </w:tcPr>
          <w:p w14:paraId="01E15F4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MYPE</w:t>
            </w:r>
          </w:p>
        </w:tc>
        <w:tc>
          <w:tcPr>
            <w:tcW w:w="47.15pt" w:type="dxa"/>
            <w:tcBorders>
              <w:top w:val="nil"/>
              <w:start w:val="nil"/>
              <w:bottom w:val="nil"/>
              <w:end w:val="nil"/>
            </w:tcBorders>
            <w:shd w:val="clear" w:color="auto" w:fill="auto"/>
            <w:noWrap/>
            <w:vAlign w:val="center"/>
            <w:hideMark/>
          </w:tcPr>
          <w:p w14:paraId="3E10DA6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0</w:t>
            </w:r>
          </w:p>
        </w:tc>
        <w:tc>
          <w:tcPr>
            <w:tcW w:w="47.15pt" w:type="dxa"/>
            <w:tcBorders>
              <w:top w:val="nil"/>
              <w:start w:val="nil"/>
              <w:bottom w:val="nil"/>
              <w:end w:val="nil"/>
            </w:tcBorders>
            <w:shd w:val="clear" w:color="auto" w:fill="auto"/>
            <w:noWrap/>
            <w:vAlign w:val="center"/>
            <w:hideMark/>
          </w:tcPr>
          <w:p w14:paraId="27981A7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0.0%</w:t>
            </w:r>
          </w:p>
        </w:tc>
        <w:tc>
          <w:tcPr>
            <w:tcW w:w="47.15pt" w:type="dxa"/>
            <w:tcBorders>
              <w:top w:val="nil"/>
              <w:start w:val="nil"/>
              <w:bottom w:val="nil"/>
              <w:end w:val="nil"/>
            </w:tcBorders>
            <w:shd w:val="clear" w:color="auto" w:fill="auto"/>
            <w:noWrap/>
            <w:vAlign w:val="center"/>
            <w:hideMark/>
          </w:tcPr>
          <w:p w14:paraId="113CC8D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w:t>
            </w:r>
          </w:p>
        </w:tc>
        <w:tc>
          <w:tcPr>
            <w:tcW w:w="47.15pt" w:type="dxa"/>
            <w:tcBorders>
              <w:top w:val="nil"/>
              <w:start w:val="nil"/>
              <w:bottom w:val="nil"/>
              <w:end w:val="nil"/>
            </w:tcBorders>
            <w:shd w:val="clear" w:color="auto" w:fill="auto"/>
            <w:noWrap/>
            <w:vAlign w:val="center"/>
            <w:hideMark/>
          </w:tcPr>
          <w:p w14:paraId="63F17FA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1.1%</w:t>
            </w:r>
          </w:p>
        </w:tc>
        <w:tc>
          <w:tcPr>
            <w:tcW w:w="47.15pt" w:type="dxa"/>
            <w:tcBorders>
              <w:top w:val="nil"/>
              <w:start w:val="nil"/>
              <w:bottom w:val="nil"/>
              <w:end w:val="nil"/>
            </w:tcBorders>
            <w:shd w:val="clear" w:color="auto" w:fill="auto"/>
            <w:noWrap/>
            <w:vAlign w:val="center"/>
            <w:hideMark/>
          </w:tcPr>
          <w:p w14:paraId="42BAEF3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14</w:t>
            </w:r>
          </w:p>
        </w:tc>
        <w:tc>
          <w:tcPr>
            <w:tcW w:w="47.15pt" w:type="dxa"/>
            <w:tcBorders>
              <w:top w:val="nil"/>
              <w:start w:val="nil"/>
              <w:bottom w:val="nil"/>
              <w:end w:val="nil"/>
            </w:tcBorders>
            <w:shd w:val="clear" w:color="auto" w:fill="auto"/>
            <w:noWrap/>
            <w:vAlign w:val="center"/>
            <w:hideMark/>
          </w:tcPr>
          <w:p w14:paraId="187766F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16.1%</w:t>
            </w:r>
          </w:p>
        </w:tc>
        <w:tc>
          <w:tcPr>
            <w:tcW w:w="47.15pt" w:type="dxa"/>
            <w:tcBorders>
              <w:top w:val="nil"/>
              <w:start w:val="nil"/>
              <w:bottom w:val="nil"/>
              <w:end w:val="nil"/>
            </w:tcBorders>
            <w:shd w:val="clear" w:color="auto" w:fill="auto"/>
            <w:noWrap/>
            <w:vAlign w:val="center"/>
            <w:hideMark/>
          </w:tcPr>
          <w:p w14:paraId="37B52F9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72</w:t>
            </w:r>
          </w:p>
        </w:tc>
        <w:tc>
          <w:tcPr>
            <w:tcW w:w="47.15pt" w:type="dxa"/>
            <w:tcBorders>
              <w:top w:val="nil"/>
              <w:start w:val="nil"/>
              <w:bottom w:val="nil"/>
              <w:end w:val="nil"/>
            </w:tcBorders>
            <w:shd w:val="clear" w:color="auto" w:fill="auto"/>
            <w:noWrap/>
            <w:vAlign w:val="center"/>
            <w:hideMark/>
          </w:tcPr>
          <w:p w14:paraId="3CEEF63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82.8%</w:t>
            </w:r>
          </w:p>
        </w:tc>
      </w:tr>
      <w:tr w:rsidR="00E845CC" w:rsidRPr="008A1537" w14:paraId="3DEEE75E" w14:textId="77777777" w:rsidTr="008A1537">
        <w:trPr>
          <w:trHeight w:val="327"/>
          <w:jc w:val="center"/>
        </w:trPr>
        <w:tc>
          <w:tcPr>
            <w:tcW w:w="52.40pt" w:type="dxa"/>
            <w:vMerge/>
            <w:tcBorders>
              <w:top w:val="nil"/>
              <w:start w:val="nil"/>
              <w:bottom w:val="single" w:sz="4" w:space="0" w:color="000000"/>
              <w:end w:val="nil"/>
            </w:tcBorders>
            <w:vAlign w:val="center"/>
            <w:hideMark/>
          </w:tcPr>
          <w:p w14:paraId="3B2CD8B6" w14:textId="77777777" w:rsidR="00E845CC" w:rsidRPr="008A1537" w:rsidRDefault="00E845CC" w:rsidP="008A1537">
            <w:pPr>
              <w:rPr>
                <w:rFonts w:ascii="Times New Roman" w:hAnsi="Times New Roman" w:cs="Times New Roman"/>
              </w:rPr>
            </w:pPr>
          </w:p>
        </w:tc>
        <w:tc>
          <w:tcPr>
            <w:tcW w:w="52.40pt" w:type="dxa"/>
            <w:tcBorders>
              <w:top w:val="nil"/>
              <w:start w:val="nil"/>
              <w:bottom w:val="single" w:sz="4" w:space="0" w:color="auto"/>
              <w:end w:val="nil"/>
            </w:tcBorders>
            <w:shd w:val="clear" w:color="auto" w:fill="auto"/>
            <w:vAlign w:val="center"/>
            <w:hideMark/>
          </w:tcPr>
          <w:p w14:paraId="4282961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NA</w:t>
            </w:r>
          </w:p>
        </w:tc>
        <w:tc>
          <w:tcPr>
            <w:tcW w:w="47.15pt" w:type="dxa"/>
            <w:tcBorders>
              <w:top w:val="nil"/>
              <w:start w:val="nil"/>
              <w:bottom w:val="single" w:sz="4" w:space="0" w:color="auto"/>
              <w:end w:val="nil"/>
            </w:tcBorders>
            <w:shd w:val="clear" w:color="auto" w:fill="auto"/>
            <w:noWrap/>
            <w:vAlign w:val="center"/>
            <w:hideMark/>
          </w:tcPr>
          <w:p w14:paraId="26C486E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13</w:t>
            </w:r>
          </w:p>
        </w:tc>
        <w:tc>
          <w:tcPr>
            <w:tcW w:w="47.15pt" w:type="dxa"/>
            <w:tcBorders>
              <w:top w:val="nil"/>
              <w:start w:val="nil"/>
              <w:bottom w:val="single" w:sz="4" w:space="0" w:color="auto"/>
              <w:end w:val="nil"/>
            </w:tcBorders>
            <w:shd w:val="clear" w:color="auto" w:fill="auto"/>
            <w:noWrap/>
            <w:vAlign w:val="center"/>
            <w:hideMark/>
          </w:tcPr>
          <w:p w14:paraId="5C7865F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19.1%</w:t>
            </w:r>
          </w:p>
        </w:tc>
        <w:tc>
          <w:tcPr>
            <w:tcW w:w="47.15pt" w:type="dxa"/>
            <w:tcBorders>
              <w:top w:val="nil"/>
              <w:start w:val="nil"/>
              <w:bottom w:val="single" w:sz="4" w:space="0" w:color="auto"/>
              <w:end w:val="nil"/>
            </w:tcBorders>
            <w:shd w:val="clear" w:color="auto" w:fill="auto"/>
            <w:noWrap/>
            <w:vAlign w:val="center"/>
            <w:hideMark/>
          </w:tcPr>
          <w:p w14:paraId="11ECC65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13</w:t>
            </w:r>
          </w:p>
        </w:tc>
        <w:tc>
          <w:tcPr>
            <w:tcW w:w="47.15pt" w:type="dxa"/>
            <w:tcBorders>
              <w:top w:val="nil"/>
              <w:start w:val="nil"/>
              <w:bottom w:val="single" w:sz="4" w:space="0" w:color="auto"/>
              <w:end w:val="nil"/>
            </w:tcBorders>
            <w:shd w:val="clear" w:color="auto" w:fill="auto"/>
            <w:noWrap/>
            <w:vAlign w:val="center"/>
            <w:hideMark/>
          </w:tcPr>
          <w:p w14:paraId="4380E87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19.1%</w:t>
            </w:r>
          </w:p>
        </w:tc>
        <w:tc>
          <w:tcPr>
            <w:tcW w:w="47.15pt" w:type="dxa"/>
            <w:tcBorders>
              <w:top w:val="nil"/>
              <w:start w:val="nil"/>
              <w:bottom w:val="single" w:sz="4" w:space="0" w:color="auto"/>
              <w:end w:val="nil"/>
            </w:tcBorders>
            <w:shd w:val="clear" w:color="auto" w:fill="auto"/>
            <w:noWrap/>
            <w:vAlign w:val="center"/>
            <w:hideMark/>
          </w:tcPr>
          <w:p w14:paraId="4364062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18</w:t>
            </w:r>
          </w:p>
        </w:tc>
        <w:tc>
          <w:tcPr>
            <w:tcW w:w="47.15pt" w:type="dxa"/>
            <w:tcBorders>
              <w:top w:val="nil"/>
              <w:start w:val="nil"/>
              <w:bottom w:val="single" w:sz="4" w:space="0" w:color="auto"/>
              <w:end w:val="nil"/>
            </w:tcBorders>
            <w:shd w:val="clear" w:color="auto" w:fill="auto"/>
            <w:noWrap/>
            <w:vAlign w:val="center"/>
            <w:hideMark/>
          </w:tcPr>
          <w:p w14:paraId="6F4D2B4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26.5%</w:t>
            </w:r>
          </w:p>
        </w:tc>
        <w:tc>
          <w:tcPr>
            <w:tcW w:w="47.15pt" w:type="dxa"/>
            <w:tcBorders>
              <w:top w:val="nil"/>
              <w:start w:val="nil"/>
              <w:bottom w:val="single" w:sz="4" w:space="0" w:color="auto"/>
              <w:end w:val="nil"/>
            </w:tcBorders>
            <w:shd w:val="clear" w:color="auto" w:fill="auto"/>
            <w:noWrap/>
            <w:vAlign w:val="center"/>
            <w:hideMark/>
          </w:tcPr>
          <w:p w14:paraId="7E835C6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24</w:t>
            </w:r>
          </w:p>
        </w:tc>
        <w:tc>
          <w:tcPr>
            <w:tcW w:w="47.15pt" w:type="dxa"/>
            <w:tcBorders>
              <w:top w:val="nil"/>
              <w:start w:val="nil"/>
              <w:bottom w:val="single" w:sz="4" w:space="0" w:color="auto"/>
              <w:end w:val="nil"/>
            </w:tcBorders>
            <w:shd w:val="clear" w:color="auto" w:fill="auto"/>
            <w:noWrap/>
            <w:vAlign w:val="center"/>
            <w:hideMark/>
          </w:tcPr>
          <w:p w14:paraId="107D9CA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35.3%</w:t>
            </w:r>
          </w:p>
        </w:tc>
      </w:tr>
    </w:tbl>
    <w:p w14:paraId="112EC5F0"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p>
    <w:p w14:paraId="4A6C31EC"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Los resultados de la valoración de las infracciones según el régimen tributario, se presenta en la Tabla 6, donde arrojaron porcentajes que señalan que en el caso de todos los regímenes que participaron, con un porcentaje, del 83.2% Nuevo RUS, del 45.5% eran RER, y del 83.8% MYPE, en la mayoría de los comerciantes considera que este tipo de infracciones “grave”. Sin embargo, se puede observar que en el caso de los comerciantes del RER, el porcentaje de quienes consideran “grave” las infracciones solo fue del 45.5% mostrando que la otra mitad considera las infracciones como el 23.9% “de consideración”, 15.9% “leve” y 14.8% “normal”. </w:t>
      </w:r>
    </w:p>
    <w:p w14:paraId="33C40B3E"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También se observa que en el caso de aquellos comerciantes que señalaron no pertenecer a ningún régimen (NA), el 35.3% considera a estas infracciones como “grave”, dejando a cerca de un 70% de comerciantes restantes que consideran que las infracciones “de consideración”, “leve” y “normal”.</w:t>
      </w:r>
    </w:p>
    <w:p w14:paraId="65B81FD1" w14:textId="77777777" w:rsidR="008A1537" w:rsidRDefault="008A1537"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p>
    <w:p w14:paraId="77D7122E" w14:textId="77777777" w:rsidR="008A1537" w:rsidRDefault="008A1537"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p>
    <w:p w14:paraId="3243A5F2" w14:textId="77777777" w:rsidR="008A1537" w:rsidRDefault="008A1537"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p>
    <w:p w14:paraId="49F7AB61" w14:textId="77777777" w:rsidR="008A1537" w:rsidRDefault="008A1537"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p>
    <w:p w14:paraId="02F02191" w14:textId="6842139F"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r w:rsidRPr="00E845CC">
        <w:rPr>
          <w:rFonts w:ascii="Times New Roman" w:hAnsi="Times New Roman" w:cs="Times New Roman"/>
          <w:b/>
          <w:bCs/>
          <w:lang w:val="es-PE"/>
        </w:rPr>
        <w:t>Tabla 7</w:t>
      </w:r>
    </w:p>
    <w:p w14:paraId="51447B8F"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i/>
          <w:iCs/>
          <w:lang w:val="es-PE"/>
        </w:rPr>
      </w:pPr>
      <w:r w:rsidRPr="00E845CC">
        <w:rPr>
          <w:rFonts w:ascii="Times New Roman" w:hAnsi="Times New Roman" w:cs="Times New Roman"/>
          <w:i/>
          <w:iCs/>
          <w:lang w:val="es-PE"/>
        </w:rPr>
        <w:t>Valoración de las infracciones laborales según el tiempo en el mercado</w:t>
      </w:r>
    </w:p>
    <w:tbl>
      <w:tblPr>
        <w:tblW w:w="478.65pt" w:type="dxa"/>
        <w:jc w:val="center"/>
        <w:tblCellMar>
          <w:start w:w="3.50pt" w:type="dxa"/>
          <w:end w:w="3.50pt" w:type="dxa"/>
        </w:tblCellMar>
        <w:tblLook w:firstRow="1" w:lastRow="0" w:firstColumn="1" w:lastColumn="0" w:noHBand="0" w:noVBand="1"/>
      </w:tblPr>
      <w:tblGrid>
        <w:gridCol w:w="967"/>
        <w:gridCol w:w="734"/>
        <w:gridCol w:w="1047"/>
        <w:gridCol w:w="921"/>
        <w:gridCol w:w="1047"/>
        <w:gridCol w:w="921"/>
        <w:gridCol w:w="1047"/>
        <w:gridCol w:w="921"/>
        <w:gridCol w:w="1047"/>
        <w:gridCol w:w="921"/>
      </w:tblGrid>
      <w:tr w:rsidR="00E845CC" w:rsidRPr="008A1537" w14:paraId="5B19E010" w14:textId="77777777" w:rsidTr="00C0608D">
        <w:trPr>
          <w:trHeight w:val="331"/>
          <w:jc w:val="center"/>
        </w:trPr>
        <w:tc>
          <w:tcPr>
            <w:tcW w:w="85.05pt" w:type="dxa"/>
            <w:gridSpan w:val="2"/>
            <w:vMerge w:val="restart"/>
            <w:tcBorders>
              <w:top w:val="single" w:sz="4" w:space="0" w:color="auto"/>
              <w:start w:val="nil"/>
              <w:bottom w:val="single" w:sz="4" w:space="0" w:color="000000"/>
              <w:end w:val="nil"/>
            </w:tcBorders>
            <w:shd w:val="clear" w:color="auto" w:fill="auto"/>
            <w:vAlign w:val="center"/>
            <w:hideMark/>
          </w:tcPr>
          <w:p w14:paraId="4B450C8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w:t>
            </w:r>
          </w:p>
        </w:tc>
        <w:tc>
          <w:tcPr>
            <w:tcW w:w="393.60pt" w:type="dxa"/>
            <w:gridSpan w:val="8"/>
            <w:tcBorders>
              <w:top w:val="single" w:sz="4" w:space="0" w:color="auto"/>
              <w:start w:val="nil"/>
              <w:bottom w:val="nil"/>
              <w:end w:val="nil"/>
            </w:tcBorders>
            <w:shd w:val="clear" w:color="auto" w:fill="auto"/>
            <w:vAlign w:val="center"/>
            <w:hideMark/>
          </w:tcPr>
          <w:p w14:paraId="32FE268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Infracciones laborales</w:t>
            </w:r>
          </w:p>
        </w:tc>
      </w:tr>
      <w:tr w:rsidR="00E845CC" w:rsidRPr="008A1537" w14:paraId="422D8444" w14:textId="77777777" w:rsidTr="00C0608D">
        <w:trPr>
          <w:trHeight w:val="331"/>
          <w:jc w:val="center"/>
        </w:trPr>
        <w:tc>
          <w:tcPr>
            <w:tcW w:w="85.05pt" w:type="dxa"/>
            <w:gridSpan w:val="2"/>
            <w:vMerge/>
            <w:tcBorders>
              <w:top w:val="single" w:sz="4" w:space="0" w:color="auto"/>
              <w:start w:val="nil"/>
              <w:bottom w:val="single" w:sz="4" w:space="0" w:color="000000"/>
              <w:end w:val="nil"/>
            </w:tcBorders>
            <w:vAlign w:val="center"/>
            <w:hideMark/>
          </w:tcPr>
          <w:p w14:paraId="0AB5B4C9" w14:textId="77777777" w:rsidR="00E845CC" w:rsidRPr="008A1537" w:rsidRDefault="00E845CC" w:rsidP="008A1537">
            <w:pPr>
              <w:rPr>
                <w:rFonts w:ascii="Times New Roman" w:hAnsi="Times New Roman" w:cs="Times New Roman"/>
              </w:rPr>
            </w:pPr>
          </w:p>
        </w:tc>
        <w:tc>
          <w:tcPr>
            <w:tcW w:w="98.40pt" w:type="dxa"/>
            <w:gridSpan w:val="2"/>
            <w:tcBorders>
              <w:top w:val="nil"/>
              <w:start w:val="nil"/>
              <w:bottom w:val="nil"/>
              <w:end w:val="nil"/>
            </w:tcBorders>
            <w:shd w:val="clear" w:color="auto" w:fill="auto"/>
            <w:vAlign w:val="center"/>
            <w:hideMark/>
          </w:tcPr>
          <w:p w14:paraId="77E536D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Normal</w:t>
            </w:r>
          </w:p>
        </w:tc>
        <w:tc>
          <w:tcPr>
            <w:tcW w:w="98.40pt" w:type="dxa"/>
            <w:gridSpan w:val="2"/>
            <w:tcBorders>
              <w:top w:val="nil"/>
              <w:start w:val="nil"/>
              <w:bottom w:val="nil"/>
              <w:end w:val="nil"/>
            </w:tcBorders>
            <w:shd w:val="clear" w:color="auto" w:fill="auto"/>
            <w:vAlign w:val="center"/>
            <w:hideMark/>
          </w:tcPr>
          <w:p w14:paraId="2F76D72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Leve</w:t>
            </w:r>
          </w:p>
        </w:tc>
        <w:tc>
          <w:tcPr>
            <w:tcW w:w="98.40pt" w:type="dxa"/>
            <w:gridSpan w:val="2"/>
            <w:tcBorders>
              <w:top w:val="nil"/>
              <w:start w:val="nil"/>
              <w:bottom w:val="nil"/>
              <w:end w:val="nil"/>
            </w:tcBorders>
            <w:shd w:val="clear" w:color="auto" w:fill="auto"/>
            <w:vAlign w:val="center"/>
            <w:hideMark/>
          </w:tcPr>
          <w:p w14:paraId="7D292B1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De consideración</w:t>
            </w:r>
          </w:p>
        </w:tc>
        <w:tc>
          <w:tcPr>
            <w:tcW w:w="98.40pt" w:type="dxa"/>
            <w:gridSpan w:val="2"/>
            <w:tcBorders>
              <w:top w:val="nil"/>
              <w:start w:val="nil"/>
              <w:bottom w:val="nil"/>
              <w:end w:val="nil"/>
            </w:tcBorders>
            <w:shd w:val="clear" w:color="auto" w:fill="auto"/>
            <w:vAlign w:val="center"/>
            <w:hideMark/>
          </w:tcPr>
          <w:p w14:paraId="2F67F4F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Grave</w:t>
            </w:r>
          </w:p>
        </w:tc>
      </w:tr>
      <w:tr w:rsidR="00E845CC" w:rsidRPr="008A1537" w14:paraId="033389F2" w14:textId="77777777" w:rsidTr="00C0608D">
        <w:trPr>
          <w:trHeight w:val="529"/>
          <w:jc w:val="center"/>
        </w:trPr>
        <w:tc>
          <w:tcPr>
            <w:tcW w:w="85.05pt" w:type="dxa"/>
            <w:gridSpan w:val="2"/>
            <w:vMerge/>
            <w:tcBorders>
              <w:top w:val="single" w:sz="4" w:space="0" w:color="auto"/>
              <w:start w:val="nil"/>
              <w:bottom w:val="single" w:sz="4" w:space="0" w:color="000000"/>
              <w:end w:val="nil"/>
            </w:tcBorders>
            <w:vAlign w:val="center"/>
            <w:hideMark/>
          </w:tcPr>
          <w:p w14:paraId="67380B0E" w14:textId="77777777" w:rsidR="00E845CC" w:rsidRPr="008A1537" w:rsidRDefault="00E845CC" w:rsidP="008A1537">
            <w:pPr>
              <w:rPr>
                <w:rFonts w:ascii="Times New Roman" w:hAnsi="Times New Roman" w:cs="Times New Roman"/>
              </w:rPr>
            </w:pPr>
          </w:p>
        </w:tc>
        <w:tc>
          <w:tcPr>
            <w:tcW w:w="52.35pt" w:type="dxa"/>
            <w:tcBorders>
              <w:top w:val="nil"/>
              <w:start w:val="nil"/>
              <w:bottom w:val="single" w:sz="4" w:space="0" w:color="auto"/>
              <w:end w:val="nil"/>
            </w:tcBorders>
            <w:shd w:val="clear" w:color="auto" w:fill="auto"/>
            <w:vAlign w:val="center"/>
            <w:hideMark/>
          </w:tcPr>
          <w:p w14:paraId="6C0CF69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Recuento</w:t>
            </w:r>
          </w:p>
        </w:tc>
        <w:tc>
          <w:tcPr>
            <w:tcW w:w="46.05pt" w:type="dxa"/>
            <w:tcBorders>
              <w:top w:val="nil"/>
              <w:start w:val="nil"/>
              <w:bottom w:val="single" w:sz="4" w:space="0" w:color="auto"/>
              <w:end w:val="nil"/>
            </w:tcBorders>
            <w:shd w:val="clear" w:color="auto" w:fill="auto"/>
            <w:vAlign w:val="center"/>
            <w:hideMark/>
          </w:tcPr>
          <w:p w14:paraId="485C1AC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c>
          <w:tcPr>
            <w:tcW w:w="52.35pt" w:type="dxa"/>
            <w:tcBorders>
              <w:top w:val="nil"/>
              <w:start w:val="nil"/>
              <w:bottom w:val="single" w:sz="4" w:space="0" w:color="auto"/>
              <w:end w:val="nil"/>
            </w:tcBorders>
            <w:shd w:val="clear" w:color="auto" w:fill="auto"/>
            <w:vAlign w:val="center"/>
            <w:hideMark/>
          </w:tcPr>
          <w:p w14:paraId="107B1E2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Recuento</w:t>
            </w:r>
          </w:p>
        </w:tc>
        <w:tc>
          <w:tcPr>
            <w:tcW w:w="46.05pt" w:type="dxa"/>
            <w:tcBorders>
              <w:top w:val="nil"/>
              <w:start w:val="nil"/>
              <w:bottom w:val="single" w:sz="4" w:space="0" w:color="auto"/>
              <w:end w:val="nil"/>
            </w:tcBorders>
            <w:shd w:val="clear" w:color="auto" w:fill="auto"/>
            <w:vAlign w:val="center"/>
            <w:hideMark/>
          </w:tcPr>
          <w:p w14:paraId="5E4189C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c>
          <w:tcPr>
            <w:tcW w:w="52.35pt" w:type="dxa"/>
            <w:tcBorders>
              <w:top w:val="nil"/>
              <w:start w:val="nil"/>
              <w:bottom w:val="single" w:sz="4" w:space="0" w:color="auto"/>
              <w:end w:val="nil"/>
            </w:tcBorders>
            <w:shd w:val="clear" w:color="auto" w:fill="auto"/>
            <w:vAlign w:val="center"/>
            <w:hideMark/>
          </w:tcPr>
          <w:p w14:paraId="1350551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Recuento</w:t>
            </w:r>
          </w:p>
        </w:tc>
        <w:tc>
          <w:tcPr>
            <w:tcW w:w="46.05pt" w:type="dxa"/>
            <w:tcBorders>
              <w:top w:val="nil"/>
              <w:start w:val="nil"/>
              <w:bottom w:val="single" w:sz="4" w:space="0" w:color="auto"/>
              <w:end w:val="nil"/>
            </w:tcBorders>
            <w:shd w:val="clear" w:color="auto" w:fill="auto"/>
            <w:vAlign w:val="center"/>
            <w:hideMark/>
          </w:tcPr>
          <w:p w14:paraId="0BDC2D9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c>
          <w:tcPr>
            <w:tcW w:w="52.35pt" w:type="dxa"/>
            <w:tcBorders>
              <w:top w:val="nil"/>
              <w:start w:val="nil"/>
              <w:bottom w:val="single" w:sz="4" w:space="0" w:color="auto"/>
              <w:end w:val="nil"/>
            </w:tcBorders>
            <w:shd w:val="clear" w:color="auto" w:fill="auto"/>
            <w:vAlign w:val="center"/>
            <w:hideMark/>
          </w:tcPr>
          <w:p w14:paraId="18CEC1F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Recuento</w:t>
            </w:r>
          </w:p>
        </w:tc>
        <w:tc>
          <w:tcPr>
            <w:tcW w:w="46.05pt" w:type="dxa"/>
            <w:tcBorders>
              <w:top w:val="nil"/>
              <w:start w:val="nil"/>
              <w:bottom w:val="single" w:sz="4" w:space="0" w:color="auto"/>
              <w:end w:val="nil"/>
            </w:tcBorders>
            <w:shd w:val="clear" w:color="auto" w:fill="auto"/>
            <w:vAlign w:val="center"/>
            <w:hideMark/>
          </w:tcPr>
          <w:p w14:paraId="4EF40A1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del N de fila</w:t>
            </w:r>
          </w:p>
        </w:tc>
      </w:tr>
      <w:tr w:rsidR="00E845CC" w:rsidRPr="008A1537" w14:paraId="79353835" w14:textId="77777777" w:rsidTr="00C0608D">
        <w:trPr>
          <w:trHeight w:val="331"/>
          <w:jc w:val="center"/>
        </w:trPr>
        <w:tc>
          <w:tcPr>
            <w:tcW w:w="48.35pt" w:type="dxa"/>
            <w:vMerge w:val="restart"/>
            <w:tcBorders>
              <w:top w:val="nil"/>
              <w:start w:val="nil"/>
              <w:bottom w:val="single" w:sz="4" w:space="0" w:color="000000"/>
              <w:end w:val="nil"/>
            </w:tcBorders>
            <w:shd w:val="clear" w:color="auto" w:fill="auto"/>
            <w:vAlign w:val="center"/>
            <w:hideMark/>
          </w:tcPr>
          <w:p w14:paraId="6B3FB2D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Tiempo en el mercado</w:t>
            </w:r>
          </w:p>
        </w:tc>
        <w:tc>
          <w:tcPr>
            <w:tcW w:w="36.70pt" w:type="dxa"/>
            <w:tcBorders>
              <w:top w:val="nil"/>
              <w:start w:val="nil"/>
              <w:bottom w:val="nil"/>
              <w:end w:val="nil"/>
            </w:tcBorders>
            <w:shd w:val="clear" w:color="auto" w:fill="auto"/>
            <w:vAlign w:val="center"/>
            <w:hideMark/>
          </w:tcPr>
          <w:p w14:paraId="05BE0A6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 a 2 años</w:t>
            </w:r>
          </w:p>
        </w:tc>
        <w:tc>
          <w:tcPr>
            <w:tcW w:w="52.35pt" w:type="dxa"/>
            <w:tcBorders>
              <w:top w:val="nil"/>
              <w:start w:val="nil"/>
              <w:bottom w:val="nil"/>
              <w:end w:val="nil"/>
            </w:tcBorders>
            <w:shd w:val="clear" w:color="auto" w:fill="auto"/>
            <w:noWrap/>
            <w:vAlign w:val="center"/>
            <w:hideMark/>
          </w:tcPr>
          <w:p w14:paraId="66A2DA4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11</w:t>
            </w:r>
          </w:p>
        </w:tc>
        <w:tc>
          <w:tcPr>
            <w:tcW w:w="46.05pt" w:type="dxa"/>
            <w:tcBorders>
              <w:top w:val="nil"/>
              <w:start w:val="nil"/>
              <w:bottom w:val="nil"/>
              <w:end w:val="nil"/>
            </w:tcBorders>
            <w:shd w:val="clear" w:color="auto" w:fill="auto"/>
            <w:noWrap/>
            <w:vAlign w:val="center"/>
            <w:hideMark/>
          </w:tcPr>
          <w:p w14:paraId="109CB81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22.0%</w:t>
            </w:r>
          </w:p>
        </w:tc>
        <w:tc>
          <w:tcPr>
            <w:tcW w:w="52.35pt" w:type="dxa"/>
            <w:tcBorders>
              <w:top w:val="nil"/>
              <w:start w:val="nil"/>
              <w:bottom w:val="nil"/>
              <w:end w:val="nil"/>
            </w:tcBorders>
            <w:shd w:val="clear" w:color="auto" w:fill="auto"/>
            <w:noWrap/>
            <w:vAlign w:val="center"/>
            <w:hideMark/>
          </w:tcPr>
          <w:p w14:paraId="674F7CE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9</w:t>
            </w:r>
          </w:p>
        </w:tc>
        <w:tc>
          <w:tcPr>
            <w:tcW w:w="46.05pt" w:type="dxa"/>
            <w:tcBorders>
              <w:top w:val="nil"/>
              <w:start w:val="nil"/>
              <w:bottom w:val="nil"/>
              <w:end w:val="nil"/>
            </w:tcBorders>
            <w:shd w:val="clear" w:color="auto" w:fill="auto"/>
            <w:noWrap/>
            <w:vAlign w:val="center"/>
            <w:hideMark/>
          </w:tcPr>
          <w:p w14:paraId="6F77CAB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18.0%</w:t>
            </w:r>
          </w:p>
        </w:tc>
        <w:tc>
          <w:tcPr>
            <w:tcW w:w="52.35pt" w:type="dxa"/>
            <w:tcBorders>
              <w:top w:val="nil"/>
              <w:start w:val="nil"/>
              <w:bottom w:val="nil"/>
              <w:end w:val="nil"/>
            </w:tcBorders>
            <w:shd w:val="clear" w:color="auto" w:fill="auto"/>
            <w:noWrap/>
            <w:vAlign w:val="center"/>
            <w:hideMark/>
          </w:tcPr>
          <w:p w14:paraId="61A8A0A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9</w:t>
            </w:r>
          </w:p>
        </w:tc>
        <w:tc>
          <w:tcPr>
            <w:tcW w:w="46.05pt" w:type="dxa"/>
            <w:tcBorders>
              <w:top w:val="nil"/>
              <w:start w:val="nil"/>
              <w:bottom w:val="nil"/>
              <w:end w:val="nil"/>
            </w:tcBorders>
            <w:shd w:val="clear" w:color="auto" w:fill="auto"/>
            <w:noWrap/>
            <w:vAlign w:val="center"/>
            <w:hideMark/>
          </w:tcPr>
          <w:p w14:paraId="1D28F0B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18.0%</w:t>
            </w:r>
          </w:p>
        </w:tc>
        <w:tc>
          <w:tcPr>
            <w:tcW w:w="52.35pt" w:type="dxa"/>
            <w:tcBorders>
              <w:top w:val="nil"/>
              <w:start w:val="nil"/>
              <w:bottom w:val="nil"/>
              <w:end w:val="nil"/>
            </w:tcBorders>
            <w:shd w:val="clear" w:color="auto" w:fill="auto"/>
            <w:noWrap/>
            <w:vAlign w:val="center"/>
            <w:hideMark/>
          </w:tcPr>
          <w:p w14:paraId="46A7EE4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21</w:t>
            </w:r>
          </w:p>
        </w:tc>
        <w:tc>
          <w:tcPr>
            <w:tcW w:w="46.05pt" w:type="dxa"/>
            <w:tcBorders>
              <w:top w:val="nil"/>
              <w:start w:val="nil"/>
              <w:bottom w:val="nil"/>
              <w:end w:val="nil"/>
            </w:tcBorders>
            <w:shd w:val="clear" w:color="auto" w:fill="auto"/>
            <w:noWrap/>
            <w:vAlign w:val="center"/>
            <w:hideMark/>
          </w:tcPr>
          <w:p w14:paraId="336D0A6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42.0%</w:t>
            </w:r>
          </w:p>
        </w:tc>
      </w:tr>
      <w:tr w:rsidR="00E845CC" w:rsidRPr="008A1537" w14:paraId="33805F33" w14:textId="77777777" w:rsidTr="00C0608D">
        <w:trPr>
          <w:trHeight w:val="331"/>
          <w:jc w:val="center"/>
        </w:trPr>
        <w:tc>
          <w:tcPr>
            <w:tcW w:w="48.35pt" w:type="dxa"/>
            <w:vMerge/>
            <w:tcBorders>
              <w:top w:val="nil"/>
              <w:start w:val="nil"/>
              <w:bottom w:val="single" w:sz="4" w:space="0" w:color="000000"/>
              <w:end w:val="nil"/>
            </w:tcBorders>
            <w:vAlign w:val="center"/>
            <w:hideMark/>
          </w:tcPr>
          <w:p w14:paraId="09BA2FD6" w14:textId="77777777" w:rsidR="00E845CC" w:rsidRPr="008A1537" w:rsidRDefault="00E845CC" w:rsidP="008A1537">
            <w:pPr>
              <w:rPr>
                <w:rFonts w:ascii="Times New Roman" w:hAnsi="Times New Roman" w:cs="Times New Roman"/>
              </w:rPr>
            </w:pPr>
          </w:p>
        </w:tc>
        <w:tc>
          <w:tcPr>
            <w:tcW w:w="36.70pt" w:type="dxa"/>
            <w:tcBorders>
              <w:top w:val="nil"/>
              <w:start w:val="nil"/>
              <w:bottom w:val="nil"/>
              <w:end w:val="nil"/>
            </w:tcBorders>
            <w:shd w:val="clear" w:color="auto" w:fill="auto"/>
            <w:vAlign w:val="center"/>
            <w:hideMark/>
          </w:tcPr>
          <w:p w14:paraId="46C9CB7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 a 4 años</w:t>
            </w:r>
          </w:p>
        </w:tc>
        <w:tc>
          <w:tcPr>
            <w:tcW w:w="52.35pt" w:type="dxa"/>
            <w:tcBorders>
              <w:top w:val="nil"/>
              <w:start w:val="nil"/>
              <w:bottom w:val="nil"/>
              <w:end w:val="nil"/>
            </w:tcBorders>
            <w:shd w:val="clear" w:color="auto" w:fill="auto"/>
            <w:noWrap/>
            <w:vAlign w:val="center"/>
            <w:hideMark/>
          </w:tcPr>
          <w:p w14:paraId="4690040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w:t>
            </w:r>
          </w:p>
        </w:tc>
        <w:tc>
          <w:tcPr>
            <w:tcW w:w="46.05pt" w:type="dxa"/>
            <w:tcBorders>
              <w:top w:val="nil"/>
              <w:start w:val="nil"/>
              <w:bottom w:val="nil"/>
              <w:end w:val="nil"/>
            </w:tcBorders>
            <w:shd w:val="clear" w:color="auto" w:fill="auto"/>
            <w:noWrap/>
            <w:vAlign w:val="center"/>
            <w:hideMark/>
          </w:tcPr>
          <w:p w14:paraId="1DF6576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6.0%</w:t>
            </w:r>
          </w:p>
        </w:tc>
        <w:tc>
          <w:tcPr>
            <w:tcW w:w="52.35pt" w:type="dxa"/>
            <w:tcBorders>
              <w:top w:val="nil"/>
              <w:start w:val="nil"/>
              <w:bottom w:val="nil"/>
              <w:end w:val="nil"/>
            </w:tcBorders>
            <w:shd w:val="clear" w:color="auto" w:fill="auto"/>
            <w:noWrap/>
            <w:vAlign w:val="center"/>
            <w:hideMark/>
          </w:tcPr>
          <w:p w14:paraId="0E84F23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w:t>
            </w:r>
          </w:p>
        </w:tc>
        <w:tc>
          <w:tcPr>
            <w:tcW w:w="46.05pt" w:type="dxa"/>
            <w:tcBorders>
              <w:top w:val="nil"/>
              <w:start w:val="nil"/>
              <w:bottom w:val="nil"/>
              <w:end w:val="nil"/>
            </w:tcBorders>
            <w:shd w:val="clear" w:color="auto" w:fill="auto"/>
            <w:noWrap/>
            <w:vAlign w:val="center"/>
            <w:hideMark/>
          </w:tcPr>
          <w:p w14:paraId="1D4D57B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7.0%</w:t>
            </w:r>
          </w:p>
        </w:tc>
        <w:tc>
          <w:tcPr>
            <w:tcW w:w="52.35pt" w:type="dxa"/>
            <w:tcBorders>
              <w:top w:val="nil"/>
              <w:start w:val="nil"/>
              <w:bottom w:val="nil"/>
              <w:end w:val="nil"/>
            </w:tcBorders>
            <w:shd w:val="clear" w:color="auto" w:fill="auto"/>
            <w:noWrap/>
            <w:vAlign w:val="center"/>
            <w:hideMark/>
          </w:tcPr>
          <w:p w14:paraId="3B29D2C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30</w:t>
            </w:r>
          </w:p>
        </w:tc>
        <w:tc>
          <w:tcPr>
            <w:tcW w:w="46.05pt" w:type="dxa"/>
            <w:tcBorders>
              <w:top w:val="nil"/>
              <w:start w:val="nil"/>
              <w:bottom w:val="nil"/>
              <w:end w:val="nil"/>
            </w:tcBorders>
            <w:shd w:val="clear" w:color="auto" w:fill="auto"/>
            <w:noWrap/>
            <w:vAlign w:val="center"/>
            <w:hideMark/>
          </w:tcPr>
          <w:p w14:paraId="4E870B7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30.0%</w:t>
            </w:r>
          </w:p>
        </w:tc>
        <w:tc>
          <w:tcPr>
            <w:tcW w:w="52.35pt" w:type="dxa"/>
            <w:tcBorders>
              <w:top w:val="nil"/>
              <w:start w:val="nil"/>
              <w:bottom w:val="nil"/>
              <w:end w:val="nil"/>
            </w:tcBorders>
            <w:shd w:val="clear" w:color="auto" w:fill="auto"/>
            <w:noWrap/>
            <w:vAlign w:val="center"/>
            <w:hideMark/>
          </w:tcPr>
          <w:p w14:paraId="2DCF5D1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57</w:t>
            </w:r>
          </w:p>
        </w:tc>
        <w:tc>
          <w:tcPr>
            <w:tcW w:w="46.05pt" w:type="dxa"/>
            <w:tcBorders>
              <w:top w:val="nil"/>
              <w:start w:val="nil"/>
              <w:bottom w:val="nil"/>
              <w:end w:val="nil"/>
            </w:tcBorders>
            <w:shd w:val="clear" w:color="auto" w:fill="auto"/>
            <w:noWrap/>
            <w:vAlign w:val="center"/>
            <w:hideMark/>
          </w:tcPr>
          <w:p w14:paraId="0732660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57.0%</w:t>
            </w:r>
          </w:p>
        </w:tc>
      </w:tr>
      <w:tr w:rsidR="00E845CC" w:rsidRPr="008A1537" w14:paraId="6396C9A1" w14:textId="77777777" w:rsidTr="00C0608D">
        <w:trPr>
          <w:trHeight w:val="331"/>
          <w:jc w:val="center"/>
        </w:trPr>
        <w:tc>
          <w:tcPr>
            <w:tcW w:w="48.35pt" w:type="dxa"/>
            <w:vMerge/>
            <w:tcBorders>
              <w:top w:val="nil"/>
              <w:start w:val="nil"/>
              <w:bottom w:val="single" w:sz="4" w:space="0" w:color="000000"/>
              <w:end w:val="nil"/>
            </w:tcBorders>
            <w:vAlign w:val="center"/>
            <w:hideMark/>
          </w:tcPr>
          <w:p w14:paraId="5ED106C2" w14:textId="77777777" w:rsidR="00E845CC" w:rsidRPr="008A1537" w:rsidRDefault="00E845CC" w:rsidP="008A1537">
            <w:pPr>
              <w:rPr>
                <w:rFonts w:ascii="Times New Roman" w:hAnsi="Times New Roman" w:cs="Times New Roman"/>
              </w:rPr>
            </w:pPr>
          </w:p>
        </w:tc>
        <w:tc>
          <w:tcPr>
            <w:tcW w:w="36.70pt" w:type="dxa"/>
            <w:tcBorders>
              <w:top w:val="nil"/>
              <w:start w:val="nil"/>
              <w:bottom w:val="nil"/>
              <w:end w:val="nil"/>
            </w:tcBorders>
            <w:shd w:val="clear" w:color="auto" w:fill="auto"/>
            <w:vAlign w:val="center"/>
            <w:hideMark/>
          </w:tcPr>
          <w:p w14:paraId="13FD3B8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 a 6 años</w:t>
            </w:r>
          </w:p>
        </w:tc>
        <w:tc>
          <w:tcPr>
            <w:tcW w:w="52.35pt" w:type="dxa"/>
            <w:tcBorders>
              <w:top w:val="nil"/>
              <w:start w:val="nil"/>
              <w:bottom w:val="nil"/>
              <w:end w:val="nil"/>
            </w:tcBorders>
            <w:shd w:val="clear" w:color="auto" w:fill="auto"/>
            <w:noWrap/>
            <w:vAlign w:val="center"/>
            <w:hideMark/>
          </w:tcPr>
          <w:p w14:paraId="74E0CDC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w:t>
            </w:r>
          </w:p>
        </w:tc>
        <w:tc>
          <w:tcPr>
            <w:tcW w:w="46.05pt" w:type="dxa"/>
            <w:tcBorders>
              <w:top w:val="nil"/>
              <w:start w:val="nil"/>
              <w:bottom w:val="nil"/>
              <w:end w:val="nil"/>
            </w:tcBorders>
            <w:shd w:val="clear" w:color="auto" w:fill="auto"/>
            <w:noWrap/>
            <w:vAlign w:val="center"/>
            <w:hideMark/>
          </w:tcPr>
          <w:p w14:paraId="6F44410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4.3%</w:t>
            </w:r>
          </w:p>
        </w:tc>
        <w:tc>
          <w:tcPr>
            <w:tcW w:w="52.35pt" w:type="dxa"/>
            <w:tcBorders>
              <w:top w:val="nil"/>
              <w:start w:val="nil"/>
              <w:bottom w:val="nil"/>
              <w:end w:val="nil"/>
            </w:tcBorders>
            <w:shd w:val="clear" w:color="auto" w:fill="auto"/>
            <w:noWrap/>
            <w:vAlign w:val="center"/>
            <w:hideMark/>
          </w:tcPr>
          <w:p w14:paraId="287FD10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w:t>
            </w:r>
          </w:p>
        </w:tc>
        <w:tc>
          <w:tcPr>
            <w:tcW w:w="46.05pt" w:type="dxa"/>
            <w:tcBorders>
              <w:top w:val="nil"/>
              <w:start w:val="nil"/>
              <w:bottom w:val="nil"/>
              <w:end w:val="nil"/>
            </w:tcBorders>
            <w:shd w:val="clear" w:color="auto" w:fill="auto"/>
            <w:noWrap/>
            <w:vAlign w:val="center"/>
            <w:hideMark/>
          </w:tcPr>
          <w:p w14:paraId="4A82125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4.3%</w:t>
            </w:r>
          </w:p>
        </w:tc>
        <w:tc>
          <w:tcPr>
            <w:tcW w:w="52.35pt" w:type="dxa"/>
            <w:tcBorders>
              <w:top w:val="nil"/>
              <w:start w:val="nil"/>
              <w:bottom w:val="nil"/>
              <w:end w:val="nil"/>
            </w:tcBorders>
            <w:shd w:val="clear" w:color="auto" w:fill="auto"/>
            <w:noWrap/>
            <w:vAlign w:val="center"/>
            <w:hideMark/>
          </w:tcPr>
          <w:p w14:paraId="7B07756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15</w:t>
            </w:r>
          </w:p>
        </w:tc>
        <w:tc>
          <w:tcPr>
            <w:tcW w:w="46.05pt" w:type="dxa"/>
            <w:tcBorders>
              <w:top w:val="nil"/>
              <w:start w:val="nil"/>
              <w:bottom w:val="nil"/>
              <w:end w:val="nil"/>
            </w:tcBorders>
            <w:shd w:val="clear" w:color="auto" w:fill="auto"/>
            <w:noWrap/>
            <w:vAlign w:val="center"/>
            <w:hideMark/>
          </w:tcPr>
          <w:p w14:paraId="6830587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12.9%</w:t>
            </w:r>
          </w:p>
        </w:tc>
        <w:tc>
          <w:tcPr>
            <w:tcW w:w="52.35pt" w:type="dxa"/>
            <w:tcBorders>
              <w:top w:val="nil"/>
              <w:start w:val="nil"/>
              <w:bottom w:val="nil"/>
              <w:end w:val="nil"/>
            </w:tcBorders>
            <w:shd w:val="clear" w:color="auto" w:fill="auto"/>
            <w:noWrap/>
            <w:vAlign w:val="center"/>
            <w:hideMark/>
          </w:tcPr>
          <w:p w14:paraId="21BEE24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91</w:t>
            </w:r>
          </w:p>
        </w:tc>
        <w:tc>
          <w:tcPr>
            <w:tcW w:w="46.05pt" w:type="dxa"/>
            <w:tcBorders>
              <w:top w:val="nil"/>
              <w:start w:val="nil"/>
              <w:bottom w:val="nil"/>
              <w:end w:val="nil"/>
            </w:tcBorders>
            <w:shd w:val="clear" w:color="auto" w:fill="auto"/>
            <w:noWrap/>
            <w:vAlign w:val="center"/>
            <w:hideMark/>
          </w:tcPr>
          <w:p w14:paraId="32FB090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78.4%</w:t>
            </w:r>
          </w:p>
        </w:tc>
      </w:tr>
      <w:tr w:rsidR="00E845CC" w:rsidRPr="008A1537" w14:paraId="7E642805" w14:textId="77777777" w:rsidTr="00C0608D">
        <w:trPr>
          <w:trHeight w:val="529"/>
          <w:jc w:val="center"/>
        </w:trPr>
        <w:tc>
          <w:tcPr>
            <w:tcW w:w="48.35pt" w:type="dxa"/>
            <w:vMerge/>
            <w:tcBorders>
              <w:top w:val="nil"/>
              <w:start w:val="nil"/>
              <w:bottom w:val="single" w:sz="4" w:space="0" w:color="000000"/>
              <w:end w:val="nil"/>
            </w:tcBorders>
            <w:vAlign w:val="center"/>
            <w:hideMark/>
          </w:tcPr>
          <w:p w14:paraId="2AC20F24" w14:textId="77777777" w:rsidR="00E845CC" w:rsidRPr="008A1537" w:rsidRDefault="00E845CC" w:rsidP="008A1537">
            <w:pPr>
              <w:rPr>
                <w:rFonts w:ascii="Times New Roman" w:hAnsi="Times New Roman" w:cs="Times New Roman"/>
              </w:rPr>
            </w:pPr>
          </w:p>
        </w:tc>
        <w:tc>
          <w:tcPr>
            <w:tcW w:w="36.70pt" w:type="dxa"/>
            <w:tcBorders>
              <w:top w:val="nil"/>
              <w:start w:val="nil"/>
              <w:bottom w:val="single" w:sz="4" w:space="0" w:color="auto"/>
              <w:end w:val="nil"/>
            </w:tcBorders>
            <w:shd w:val="clear" w:color="auto" w:fill="auto"/>
            <w:vAlign w:val="center"/>
            <w:hideMark/>
          </w:tcPr>
          <w:p w14:paraId="71CB8FE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De 7 años a más</w:t>
            </w:r>
          </w:p>
        </w:tc>
        <w:tc>
          <w:tcPr>
            <w:tcW w:w="52.35pt" w:type="dxa"/>
            <w:tcBorders>
              <w:top w:val="nil"/>
              <w:start w:val="nil"/>
              <w:bottom w:val="single" w:sz="4" w:space="0" w:color="auto"/>
              <w:end w:val="nil"/>
            </w:tcBorders>
            <w:shd w:val="clear" w:color="auto" w:fill="auto"/>
            <w:noWrap/>
            <w:vAlign w:val="center"/>
            <w:hideMark/>
          </w:tcPr>
          <w:p w14:paraId="295C50C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w:t>
            </w:r>
          </w:p>
        </w:tc>
        <w:tc>
          <w:tcPr>
            <w:tcW w:w="46.05pt" w:type="dxa"/>
            <w:tcBorders>
              <w:top w:val="nil"/>
              <w:start w:val="nil"/>
              <w:bottom w:val="single" w:sz="4" w:space="0" w:color="auto"/>
              <w:end w:val="nil"/>
            </w:tcBorders>
            <w:shd w:val="clear" w:color="auto" w:fill="auto"/>
            <w:noWrap/>
            <w:vAlign w:val="center"/>
            <w:hideMark/>
          </w:tcPr>
          <w:p w14:paraId="5592F306"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4.8%</w:t>
            </w:r>
          </w:p>
        </w:tc>
        <w:tc>
          <w:tcPr>
            <w:tcW w:w="52.35pt" w:type="dxa"/>
            <w:tcBorders>
              <w:top w:val="nil"/>
              <w:start w:val="nil"/>
              <w:bottom w:val="single" w:sz="4" w:space="0" w:color="auto"/>
              <w:end w:val="nil"/>
            </w:tcBorders>
            <w:shd w:val="clear" w:color="auto" w:fill="auto"/>
            <w:noWrap/>
            <w:vAlign w:val="center"/>
            <w:hideMark/>
          </w:tcPr>
          <w:p w14:paraId="01821123"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12</w:t>
            </w:r>
          </w:p>
        </w:tc>
        <w:tc>
          <w:tcPr>
            <w:tcW w:w="46.05pt" w:type="dxa"/>
            <w:tcBorders>
              <w:top w:val="nil"/>
              <w:start w:val="nil"/>
              <w:bottom w:val="single" w:sz="4" w:space="0" w:color="auto"/>
              <w:end w:val="nil"/>
            </w:tcBorders>
            <w:shd w:val="clear" w:color="auto" w:fill="auto"/>
            <w:noWrap/>
            <w:vAlign w:val="center"/>
            <w:hideMark/>
          </w:tcPr>
          <w:p w14:paraId="75D82B0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14.3%</w:t>
            </w:r>
          </w:p>
        </w:tc>
        <w:tc>
          <w:tcPr>
            <w:tcW w:w="52.35pt" w:type="dxa"/>
            <w:tcBorders>
              <w:top w:val="nil"/>
              <w:start w:val="nil"/>
              <w:bottom w:val="single" w:sz="4" w:space="0" w:color="auto"/>
              <w:end w:val="nil"/>
            </w:tcBorders>
            <w:shd w:val="clear" w:color="auto" w:fill="auto"/>
            <w:noWrap/>
            <w:vAlign w:val="center"/>
            <w:hideMark/>
          </w:tcPr>
          <w:p w14:paraId="00F7980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12</w:t>
            </w:r>
          </w:p>
        </w:tc>
        <w:tc>
          <w:tcPr>
            <w:tcW w:w="46.05pt" w:type="dxa"/>
            <w:tcBorders>
              <w:top w:val="nil"/>
              <w:start w:val="nil"/>
              <w:bottom w:val="single" w:sz="4" w:space="0" w:color="auto"/>
              <w:end w:val="nil"/>
            </w:tcBorders>
            <w:shd w:val="clear" w:color="auto" w:fill="auto"/>
            <w:noWrap/>
            <w:vAlign w:val="center"/>
            <w:hideMark/>
          </w:tcPr>
          <w:p w14:paraId="35909D9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14.3%</w:t>
            </w:r>
          </w:p>
        </w:tc>
        <w:tc>
          <w:tcPr>
            <w:tcW w:w="52.35pt" w:type="dxa"/>
            <w:tcBorders>
              <w:top w:val="nil"/>
              <w:start w:val="nil"/>
              <w:bottom w:val="single" w:sz="4" w:space="0" w:color="auto"/>
              <w:end w:val="nil"/>
            </w:tcBorders>
            <w:shd w:val="clear" w:color="auto" w:fill="auto"/>
            <w:noWrap/>
            <w:vAlign w:val="center"/>
            <w:hideMark/>
          </w:tcPr>
          <w:p w14:paraId="07FB4BA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56</w:t>
            </w:r>
          </w:p>
        </w:tc>
        <w:tc>
          <w:tcPr>
            <w:tcW w:w="46.05pt" w:type="dxa"/>
            <w:tcBorders>
              <w:top w:val="nil"/>
              <w:start w:val="nil"/>
              <w:bottom w:val="single" w:sz="4" w:space="0" w:color="auto"/>
              <w:end w:val="nil"/>
            </w:tcBorders>
            <w:shd w:val="clear" w:color="auto" w:fill="auto"/>
            <w:noWrap/>
            <w:vAlign w:val="center"/>
            <w:hideMark/>
          </w:tcPr>
          <w:p w14:paraId="4E9327A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66.7%</w:t>
            </w:r>
          </w:p>
        </w:tc>
      </w:tr>
    </w:tbl>
    <w:p w14:paraId="63605488"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p>
    <w:p w14:paraId="0197C40B"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Según la Tabla 7</w:t>
      </w:r>
      <w:r w:rsidRPr="00E845CC">
        <w:rPr>
          <w:rFonts w:ascii="Times New Roman" w:hAnsi="Times New Roman" w:cs="Times New Roman"/>
          <w:b/>
          <w:lang w:val="es-PE"/>
        </w:rPr>
        <w:t xml:space="preserve">, </w:t>
      </w:r>
      <w:r w:rsidRPr="00E845CC">
        <w:rPr>
          <w:rFonts w:ascii="Times New Roman" w:hAnsi="Times New Roman" w:cs="Times New Roman"/>
          <w:lang w:val="es-PE"/>
        </w:rPr>
        <w:t>en el caso de los resultados de la valoración de las infracciones laborales, según el tiempo en el mercado de los comerciantes, se observó que los porcentajes más altos, en todas las categorías de tiempo, apuntaron a valorar las infracciones como “grave” en su mayoría, detalla de la siguiente manera: para los comerciantes que tienen hasta 2 años del 42.0% como “grave”, los comerciantes entre 3 y 4 años de tiempo en el mercado del 57.0% como “grave”, los comerciantes entre 5 y 6 años de tiempo en el mercado del 78.4% como “grave”, y los comerciantes de 7 años a más en el mercado del 66.7% como “grave”. Además de mostrar una relación positiva entre el tiempo y la cantidad de comerciantes que valoran como “grave” las infracciones laborales.</w:t>
      </w:r>
    </w:p>
    <w:p w14:paraId="36489D48"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 La excepción de la relación mencionada se observó en el caso de aquellos comerciantes que tienen de 7 años a más en el mercado, ya que se observó que disminuyó en un 11.7% en relación a aquellos que tienen entre 5 y 6 años. De esta manera se observa que la antigüedad en cierto momento hace que los comerciantes empiecen a perder el respeto por la legislación laboral.</w:t>
      </w:r>
    </w:p>
    <w:p w14:paraId="04A0B9F8" w14:textId="77777777" w:rsidR="00C6283D" w:rsidRDefault="00C6283D"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p>
    <w:p w14:paraId="3244DA33" w14:textId="77777777" w:rsidR="00C6283D" w:rsidRDefault="00C6283D"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p>
    <w:p w14:paraId="1AC6B158" w14:textId="250B017D"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r w:rsidRPr="00E845CC">
        <w:rPr>
          <w:rFonts w:ascii="Times New Roman" w:hAnsi="Times New Roman" w:cs="Times New Roman"/>
          <w:b/>
          <w:bCs/>
          <w:lang w:val="es-PE"/>
        </w:rPr>
        <w:t>Tabla 8</w:t>
      </w:r>
    </w:p>
    <w:p w14:paraId="538E4845"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i/>
          <w:iCs/>
          <w:lang w:val="es-PE"/>
        </w:rPr>
      </w:pPr>
      <w:r w:rsidRPr="00E845CC">
        <w:rPr>
          <w:rFonts w:ascii="Times New Roman" w:hAnsi="Times New Roman" w:cs="Times New Roman"/>
          <w:i/>
          <w:iCs/>
          <w:lang w:val="es-PE"/>
        </w:rPr>
        <w:t>Frecuencias de la valoración de las infracciones laborales</w:t>
      </w:r>
    </w:p>
    <w:tbl>
      <w:tblPr>
        <w:tblW w:w="385.75pt" w:type="dxa"/>
        <w:jc w:val="center"/>
        <w:tblCellMar>
          <w:start w:w="3.50pt" w:type="dxa"/>
          <w:end w:w="3.50pt" w:type="dxa"/>
        </w:tblCellMar>
        <w:tblLook w:firstRow="1" w:lastRow="0" w:firstColumn="1" w:lastColumn="0" w:noHBand="0" w:noVBand="1"/>
      </w:tblPr>
      <w:tblGrid>
        <w:gridCol w:w="2469"/>
        <w:gridCol w:w="1424"/>
        <w:gridCol w:w="1424"/>
        <w:gridCol w:w="2398"/>
      </w:tblGrid>
      <w:tr w:rsidR="00E845CC" w:rsidRPr="008A1537" w14:paraId="7215A2DD" w14:textId="77777777" w:rsidTr="008A1537">
        <w:trPr>
          <w:trHeight w:val="351"/>
          <w:jc w:val="center"/>
        </w:trPr>
        <w:tc>
          <w:tcPr>
            <w:tcW w:w="123.45pt" w:type="dxa"/>
            <w:tcBorders>
              <w:top w:val="single" w:sz="4" w:space="0" w:color="auto"/>
              <w:start w:val="nil"/>
              <w:bottom w:val="single" w:sz="4" w:space="0" w:color="auto"/>
              <w:end w:val="nil"/>
            </w:tcBorders>
            <w:shd w:val="clear" w:color="auto" w:fill="auto"/>
            <w:vAlign w:val="bottom"/>
            <w:hideMark/>
          </w:tcPr>
          <w:p w14:paraId="14776DF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Infracciones laborales</w:t>
            </w:r>
          </w:p>
        </w:tc>
        <w:tc>
          <w:tcPr>
            <w:tcW w:w="71.20pt" w:type="dxa"/>
            <w:tcBorders>
              <w:top w:val="single" w:sz="4" w:space="0" w:color="auto"/>
              <w:start w:val="nil"/>
              <w:bottom w:val="single" w:sz="4" w:space="0" w:color="auto"/>
              <w:end w:val="nil"/>
            </w:tcBorders>
            <w:shd w:val="clear" w:color="auto" w:fill="auto"/>
            <w:vAlign w:val="bottom"/>
            <w:hideMark/>
          </w:tcPr>
          <w:p w14:paraId="44C2499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Frecuencia</w:t>
            </w:r>
          </w:p>
        </w:tc>
        <w:tc>
          <w:tcPr>
            <w:tcW w:w="71.20pt" w:type="dxa"/>
            <w:tcBorders>
              <w:top w:val="single" w:sz="4" w:space="0" w:color="auto"/>
              <w:start w:val="nil"/>
              <w:bottom w:val="single" w:sz="4" w:space="0" w:color="auto"/>
              <w:end w:val="nil"/>
            </w:tcBorders>
            <w:shd w:val="clear" w:color="auto" w:fill="auto"/>
            <w:vAlign w:val="bottom"/>
            <w:hideMark/>
          </w:tcPr>
          <w:p w14:paraId="6C8EDE4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Porcentaje</w:t>
            </w:r>
          </w:p>
        </w:tc>
        <w:tc>
          <w:tcPr>
            <w:tcW w:w="119.90pt" w:type="dxa"/>
            <w:tcBorders>
              <w:top w:val="single" w:sz="4" w:space="0" w:color="auto"/>
              <w:start w:val="nil"/>
              <w:bottom w:val="single" w:sz="4" w:space="0" w:color="auto"/>
              <w:end w:val="nil"/>
            </w:tcBorders>
            <w:shd w:val="clear" w:color="auto" w:fill="auto"/>
            <w:vAlign w:val="bottom"/>
            <w:hideMark/>
          </w:tcPr>
          <w:p w14:paraId="3FF3411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Porcentaje acumulado</w:t>
            </w:r>
          </w:p>
        </w:tc>
      </w:tr>
      <w:tr w:rsidR="00E845CC" w:rsidRPr="008A1537" w14:paraId="55D03274" w14:textId="77777777" w:rsidTr="008A1537">
        <w:trPr>
          <w:trHeight w:val="351"/>
          <w:jc w:val="center"/>
        </w:trPr>
        <w:tc>
          <w:tcPr>
            <w:tcW w:w="123.45pt" w:type="dxa"/>
            <w:tcBorders>
              <w:top w:val="nil"/>
              <w:start w:val="nil"/>
              <w:bottom w:val="nil"/>
              <w:end w:val="nil"/>
            </w:tcBorders>
            <w:shd w:val="clear" w:color="auto" w:fill="auto"/>
            <w:hideMark/>
          </w:tcPr>
          <w:p w14:paraId="4315F45E"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Normal</w:t>
            </w:r>
          </w:p>
        </w:tc>
        <w:tc>
          <w:tcPr>
            <w:tcW w:w="71.20pt" w:type="dxa"/>
            <w:tcBorders>
              <w:top w:val="nil"/>
              <w:start w:val="nil"/>
              <w:bottom w:val="nil"/>
              <w:end w:val="nil"/>
            </w:tcBorders>
            <w:shd w:val="clear" w:color="auto" w:fill="auto"/>
            <w:noWrap/>
            <w:hideMark/>
          </w:tcPr>
          <w:p w14:paraId="3C4C8C3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26</w:t>
            </w:r>
          </w:p>
        </w:tc>
        <w:tc>
          <w:tcPr>
            <w:tcW w:w="71.20pt" w:type="dxa"/>
            <w:tcBorders>
              <w:top w:val="nil"/>
              <w:start w:val="nil"/>
              <w:bottom w:val="nil"/>
              <w:end w:val="nil"/>
            </w:tcBorders>
            <w:shd w:val="clear" w:color="auto" w:fill="auto"/>
            <w:noWrap/>
            <w:hideMark/>
          </w:tcPr>
          <w:p w14:paraId="5FAB300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7.4%</w:t>
            </w:r>
          </w:p>
        </w:tc>
        <w:tc>
          <w:tcPr>
            <w:tcW w:w="119.90pt" w:type="dxa"/>
            <w:tcBorders>
              <w:top w:val="nil"/>
              <w:start w:val="nil"/>
              <w:bottom w:val="nil"/>
              <w:end w:val="nil"/>
            </w:tcBorders>
            <w:shd w:val="clear" w:color="auto" w:fill="auto"/>
            <w:noWrap/>
            <w:hideMark/>
          </w:tcPr>
          <w:p w14:paraId="455E82E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7.4</w:t>
            </w:r>
          </w:p>
        </w:tc>
      </w:tr>
      <w:tr w:rsidR="00E845CC" w:rsidRPr="008A1537" w14:paraId="2748F391" w14:textId="77777777" w:rsidTr="008A1537">
        <w:trPr>
          <w:trHeight w:val="351"/>
          <w:jc w:val="center"/>
        </w:trPr>
        <w:tc>
          <w:tcPr>
            <w:tcW w:w="123.45pt" w:type="dxa"/>
            <w:tcBorders>
              <w:top w:val="nil"/>
              <w:start w:val="nil"/>
              <w:bottom w:val="nil"/>
              <w:end w:val="nil"/>
            </w:tcBorders>
            <w:shd w:val="clear" w:color="auto" w:fill="auto"/>
            <w:hideMark/>
          </w:tcPr>
          <w:p w14:paraId="2F2C6CE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Leve</w:t>
            </w:r>
          </w:p>
        </w:tc>
        <w:tc>
          <w:tcPr>
            <w:tcW w:w="71.20pt" w:type="dxa"/>
            <w:tcBorders>
              <w:top w:val="nil"/>
              <w:start w:val="nil"/>
              <w:bottom w:val="nil"/>
              <w:end w:val="nil"/>
            </w:tcBorders>
            <w:shd w:val="clear" w:color="auto" w:fill="auto"/>
            <w:noWrap/>
            <w:hideMark/>
          </w:tcPr>
          <w:p w14:paraId="565993F5"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33</w:t>
            </w:r>
          </w:p>
        </w:tc>
        <w:tc>
          <w:tcPr>
            <w:tcW w:w="71.20pt" w:type="dxa"/>
            <w:tcBorders>
              <w:top w:val="nil"/>
              <w:start w:val="nil"/>
              <w:bottom w:val="nil"/>
              <w:end w:val="nil"/>
            </w:tcBorders>
            <w:shd w:val="clear" w:color="auto" w:fill="auto"/>
            <w:noWrap/>
            <w:hideMark/>
          </w:tcPr>
          <w:p w14:paraId="458DFBE4"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9.4%</w:t>
            </w:r>
          </w:p>
        </w:tc>
        <w:tc>
          <w:tcPr>
            <w:tcW w:w="119.90pt" w:type="dxa"/>
            <w:tcBorders>
              <w:top w:val="nil"/>
              <w:start w:val="nil"/>
              <w:bottom w:val="nil"/>
              <w:end w:val="nil"/>
            </w:tcBorders>
            <w:shd w:val="clear" w:color="auto" w:fill="auto"/>
            <w:noWrap/>
            <w:hideMark/>
          </w:tcPr>
          <w:p w14:paraId="7305242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16.9</w:t>
            </w:r>
          </w:p>
        </w:tc>
      </w:tr>
      <w:tr w:rsidR="00E845CC" w:rsidRPr="008A1537" w14:paraId="3E007B57" w14:textId="77777777" w:rsidTr="008A1537">
        <w:trPr>
          <w:trHeight w:val="351"/>
          <w:jc w:val="center"/>
        </w:trPr>
        <w:tc>
          <w:tcPr>
            <w:tcW w:w="123.45pt" w:type="dxa"/>
            <w:tcBorders>
              <w:top w:val="nil"/>
              <w:start w:val="nil"/>
              <w:bottom w:val="nil"/>
              <w:end w:val="nil"/>
            </w:tcBorders>
            <w:shd w:val="clear" w:color="auto" w:fill="auto"/>
            <w:hideMark/>
          </w:tcPr>
          <w:p w14:paraId="34B4BDD8"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De consideración</w:t>
            </w:r>
          </w:p>
        </w:tc>
        <w:tc>
          <w:tcPr>
            <w:tcW w:w="71.20pt" w:type="dxa"/>
            <w:tcBorders>
              <w:top w:val="nil"/>
              <w:start w:val="nil"/>
              <w:bottom w:val="nil"/>
              <w:end w:val="nil"/>
            </w:tcBorders>
            <w:shd w:val="clear" w:color="auto" w:fill="auto"/>
            <w:noWrap/>
            <w:hideMark/>
          </w:tcPr>
          <w:p w14:paraId="14E3DBD7"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66</w:t>
            </w:r>
          </w:p>
        </w:tc>
        <w:tc>
          <w:tcPr>
            <w:tcW w:w="71.20pt" w:type="dxa"/>
            <w:tcBorders>
              <w:top w:val="nil"/>
              <w:start w:val="nil"/>
              <w:bottom w:val="nil"/>
              <w:end w:val="nil"/>
            </w:tcBorders>
            <w:shd w:val="clear" w:color="auto" w:fill="auto"/>
            <w:noWrap/>
            <w:hideMark/>
          </w:tcPr>
          <w:p w14:paraId="04758ED1"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18.9%</w:t>
            </w:r>
          </w:p>
        </w:tc>
        <w:tc>
          <w:tcPr>
            <w:tcW w:w="119.90pt" w:type="dxa"/>
            <w:tcBorders>
              <w:top w:val="nil"/>
              <w:start w:val="nil"/>
              <w:bottom w:val="nil"/>
              <w:end w:val="nil"/>
            </w:tcBorders>
            <w:shd w:val="clear" w:color="auto" w:fill="auto"/>
            <w:noWrap/>
            <w:hideMark/>
          </w:tcPr>
          <w:p w14:paraId="2CF494E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35.7</w:t>
            </w:r>
          </w:p>
        </w:tc>
      </w:tr>
      <w:tr w:rsidR="00E845CC" w:rsidRPr="008A1537" w14:paraId="4A6F97DE" w14:textId="77777777" w:rsidTr="008A1537">
        <w:trPr>
          <w:trHeight w:val="351"/>
          <w:jc w:val="center"/>
        </w:trPr>
        <w:tc>
          <w:tcPr>
            <w:tcW w:w="123.45pt" w:type="dxa"/>
            <w:tcBorders>
              <w:top w:val="nil"/>
              <w:start w:val="nil"/>
              <w:bottom w:val="single" w:sz="4" w:space="0" w:color="auto"/>
              <w:end w:val="nil"/>
            </w:tcBorders>
            <w:shd w:val="clear" w:color="auto" w:fill="auto"/>
            <w:hideMark/>
          </w:tcPr>
          <w:p w14:paraId="33889F42"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Grave</w:t>
            </w:r>
          </w:p>
        </w:tc>
        <w:tc>
          <w:tcPr>
            <w:tcW w:w="71.20pt" w:type="dxa"/>
            <w:tcBorders>
              <w:top w:val="nil"/>
              <w:start w:val="nil"/>
              <w:bottom w:val="single" w:sz="4" w:space="0" w:color="auto"/>
              <w:end w:val="nil"/>
            </w:tcBorders>
            <w:shd w:val="clear" w:color="auto" w:fill="auto"/>
            <w:noWrap/>
            <w:hideMark/>
          </w:tcPr>
          <w:p w14:paraId="1B527AF9"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225</w:t>
            </w:r>
          </w:p>
        </w:tc>
        <w:tc>
          <w:tcPr>
            <w:tcW w:w="71.20pt" w:type="dxa"/>
            <w:tcBorders>
              <w:top w:val="nil"/>
              <w:start w:val="nil"/>
              <w:bottom w:val="single" w:sz="4" w:space="0" w:color="auto"/>
              <w:end w:val="nil"/>
            </w:tcBorders>
            <w:shd w:val="clear" w:color="auto" w:fill="auto"/>
            <w:noWrap/>
            <w:hideMark/>
          </w:tcPr>
          <w:p w14:paraId="46446DAF"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64.3%</w:t>
            </w:r>
          </w:p>
        </w:tc>
        <w:tc>
          <w:tcPr>
            <w:tcW w:w="119.90pt" w:type="dxa"/>
            <w:tcBorders>
              <w:top w:val="nil"/>
              <w:start w:val="nil"/>
              <w:bottom w:val="single" w:sz="4" w:space="0" w:color="auto"/>
              <w:end w:val="nil"/>
            </w:tcBorders>
            <w:shd w:val="clear" w:color="auto" w:fill="auto"/>
            <w:noWrap/>
            <w:hideMark/>
          </w:tcPr>
          <w:p w14:paraId="4A30BA80"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r>
      <w:tr w:rsidR="00E845CC" w:rsidRPr="008A1537" w14:paraId="64F91BA2" w14:textId="77777777" w:rsidTr="008A1537">
        <w:trPr>
          <w:trHeight w:val="351"/>
          <w:jc w:val="center"/>
        </w:trPr>
        <w:tc>
          <w:tcPr>
            <w:tcW w:w="123.45pt" w:type="dxa"/>
            <w:tcBorders>
              <w:top w:val="nil"/>
              <w:start w:val="nil"/>
              <w:bottom w:val="single" w:sz="4" w:space="0" w:color="auto"/>
              <w:end w:val="nil"/>
            </w:tcBorders>
            <w:shd w:val="clear" w:color="auto" w:fill="auto"/>
            <w:hideMark/>
          </w:tcPr>
          <w:p w14:paraId="3621F18C"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Total</w:t>
            </w:r>
          </w:p>
        </w:tc>
        <w:tc>
          <w:tcPr>
            <w:tcW w:w="71.20pt" w:type="dxa"/>
            <w:tcBorders>
              <w:top w:val="nil"/>
              <w:start w:val="nil"/>
              <w:bottom w:val="single" w:sz="4" w:space="0" w:color="auto"/>
              <w:end w:val="nil"/>
            </w:tcBorders>
            <w:shd w:val="clear" w:color="auto" w:fill="auto"/>
            <w:noWrap/>
            <w:hideMark/>
          </w:tcPr>
          <w:p w14:paraId="4F3C4FCA"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350</w:t>
            </w:r>
          </w:p>
        </w:tc>
        <w:tc>
          <w:tcPr>
            <w:tcW w:w="71.20pt" w:type="dxa"/>
            <w:tcBorders>
              <w:top w:val="nil"/>
              <w:start w:val="nil"/>
              <w:bottom w:val="single" w:sz="4" w:space="0" w:color="auto"/>
              <w:end w:val="nil"/>
            </w:tcBorders>
            <w:shd w:val="clear" w:color="auto" w:fill="auto"/>
            <w:noWrap/>
            <w:hideMark/>
          </w:tcPr>
          <w:p w14:paraId="57CDE09B"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100.0</w:t>
            </w:r>
          </w:p>
        </w:tc>
        <w:tc>
          <w:tcPr>
            <w:tcW w:w="119.90pt" w:type="dxa"/>
            <w:tcBorders>
              <w:top w:val="nil"/>
              <w:start w:val="nil"/>
              <w:bottom w:val="single" w:sz="4" w:space="0" w:color="auto"/>
              <w:end w:val="nil"/>
            </w:tcBorders>
            <w:shd w:val="clear" w:color="auto" w:fill="auto"/>
            <w:hideMark/>
          </w:tcPr>
          <w:p w14:paraId="102E8D8D" w14:textId="77777777" w:rsidR="00E845CC" w:rsidRPr="008A1537" w:rsidRDefault="00E845CC" w:rsidP="008A1537">
            <w:pPr>
              <w:rPr>
                <w:rFonts w:ascii="Times New Roman" w:hAnsi="Times New Roman" w:cs="Times New Roman"/>
              </w:rPr>
            </w:pPr>
            <w:r w:rsidRPr="008A1537">
              <w:rPr>
                <w:rFonts w:ascii="Times New Roman" w:hAnsi="Times New Roman" w:cs="Times New Roman"/>
              </w:rPr>
              <w:t> </w:t>
            </w:r>
          </w:p>
        </w:tc>
      </w:tr>
    </w:tbl>
    <w:p w14:paraId="43A605A5"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p>
    <w:p w14:paraId="53336514"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Según la Tabla 8, el resultado general de la valoración de las infracciones laborales muestra que un 64.3% de comerciantes participantes considera que el incumplimiento de la norma laboral es una infracción “grave”, un 18.9% considera que es una infracción “de consideración”, un 9.4% que es una infracción “leve” y un 7.4% considera es una infracción “normal”. De esta manera, se puede entender que los comerciantes mantienen una sensibilidad mayor hacia la normal laboral que hacia la norma tributaria.</w:t>
      </w:r>
    </w:p>
    <w:p w14:paraId="6C453A38" w14:textId="77777777" w:rsidR="00C6283D" w:rsidRDefault="00C6283D" w:rsidP="008A1537">
      <w:pPr>
        <w:widowControl w:val="0"/>
        <w:autoSpaceDE w:val="0"/>
        <w:autoSpaceDN w:val="0"/>
        <w:adjustRightInd w:val="0"/>
        <w:spacing w:after="12pt" w:line="18pt" w:lineRule="auto"/>
        <w:ind w:firstLine="28.35pt"/>
        <w:jc w:val="center"/>
        <w:rPr>
          <w:rFonts w:ascii="Times New Roman" w:hAnsi="Times New Roman" w:cs="Times New Roman"/>
          <w:b/>
          <w:bCs/>
          <w:lang w:val="es-PE"/>
        </w:rPr>
      </w:pPr>
    </w:p>
    <w:p w14:paraId="75B99DCF" w14:textId="16739C70" w:rsidR="00E845CC" w:rsidRPr="00E845CC" w:rsidRDefault="00E845CC" w:rsidP="008A1537">
      <w:pPr>
        <w:widowControl w:val="0"/>
        <w:autoSpaceDE w:val="0"/>
        <w:autoSpaceDN w:val="0"/>
        <w:adjustRightInd w:val="0"/>
        <w:spacing w:after="12pt" w:line="18pt" w:lineRule="auto"/>
        <w:ind w:firstLine="28.35pt"/>
        <w:jc w:val="center"/>
        <w:rPr>
          <w:rFonts w:ascii="Times New Roman" w:hAnsi="Times New Roman" w:cs="Times New Roman"/>
          <w:b/>
          <w:bCs/>
          <w:lang w:val="es-PE"/>
        </w:rPr>
      </w:pPr>
      <w:r w:rsidRPr="00E845CC">
        <w:rPr>
          <w:rFonts w:ascii="Times New Roman" w:hAnsi="Times New Roman" w:cs="Times New Roman"/>
          <w:b/>
          <w:bCs/>
          <w:lang w:val="es-PE"/>
        </w:rPr>
        <w:t>Discusión</w:t>
      </w:r>
    </w:p>
    <w:p w14:paraId="6CE7FD77" w14:textId="77777777" w:rsidR="00E845CC" w:rsidRPr="00E845CC" w:rsidRDefault="00E845CC" w:rsidP="00C6283D">
      <w:pPr>
        <w:widowControl w:val="0"/>
        <w:autoSpaceDE w:val="0"/>
        <w:autoSpaceDN w:val="0"/>
        <w:adjustRightInd w:val="0"/>
        <w:spacing w:after="12pt" w:line="18pt" w:lineRule="auto"/>
        <w:jc w:val="both"/>
        <w:rPr>
          <w:rFonts w:ascii="Times New Roman" w:hAnsi="Times New Roman" w:cs="Times New Roman"/>
          <w:lang w:val="es-PE"/>
        </w:rPr>
      </w:pPr>
      <w:r w:rsidRPr="00E845CC">
        <w:rPr>
          <w:rFonts w:ascii="Times New Roman" w:hAnsi="Times New Roman" w:cs="Times New Roman"/>
          <w:lang w:val="es-PE"/>
        </w:rPr>
        <w:t xml:space="preserve">El presente estudio de investigación consiste en, evaluar o medir el incumplimiento de las obligaciones comerciales en un sector económico emergente en Lima, para la recolección de datos se utilizaron 350 comerciantes por medio de una encuesta de 14 preguntas, donde el objetivo de la investigación era  mide la opinión o conocimiento del comerciante, relacionado a lo indica la norma tributaria y laboral en el Perú, considerando como: Las infracciones tributarias, las infracciones laborales, las infracciones según régimen tributario, y las infracciones según el tiempo que llevan operando en el mercado en Lima. En una escala de 1 al 4, donde 1“normal”, 2“leve, 3“de consideración” y 4“grave”, las zonas encuestas en Lima fueron: La Victoria (Gamarra), Cercado de Lima (Av. Abancay), San Juan de Lurigancho (Campoy), Santa Anita (Av. Colectora) y Ate Vitarte (brisas). También es necesito mencionar que la encuesta fue ordena, codificada, y validada con fotos. </w:t>
      </w:r>
    </w:p>
    <w:p w14:paraId="1AF3B465"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Los resultados encontrados en el estudio muestran que existe una buena valoración hacia las infracciones comerciales, es decir, las consideran como faltas “de consideración” o “grave”, y las infracciones que comprenden faltas tributarias y laborales. Esta valoración de acuerdo a los regímenes tributarios, muestra un nivel adecuado, lo que apoya la idea de que la cultura tributaria en los comerciantes aún no es la adecuada, y en el caso de la valoración laboral, se encontraron mejores niveles, lo que probablemente sea consecuencia de la cercanía del ente fiscalizador en la parte laboral a diferencia de la Superintendencia Nacional de Administración Tributaria (SUNAT).</w:t>
      </w:r>
    </w:p>
    <w:p w14:paraId="125C4B67"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En relación a los resultados, que muestran un nivel inadecuado de valoración hacia las infracciones tributarias,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{"citationItems":[{"id":"ITEM-1","itemData":{"abstract":"En la investigación titulada: La evasión tributaria y su impacto en la recaudación fiscal en el Perú, el objetivo general de la investigación fue determinar de qué manera influye la evasión tributaria en la recaudación fiscal en el Perú. El presente estudio de investigación permite conocer la importancia que tiene erradicar la evasión tributaria y la informalidad y como esto influye en la disminución de la recaudación fiscal perjudicando la inversión pública y por ende el bienestar común de los ciudadanos El tipo de investigación es básica, el nivel de investigación es explicativo y el diseño de la investigación es no experimental, transversal y el enfoque es cuantitativo. La muestra estuvo conformada por 384 contribuyentes de empresas formales. La técnica que se utilizó es la encuesta y los instrumentos de recolección de datos fueron dos escalas de opinión aplicados a los contribuyentes. Para la validez de los instrumentos se utilizó el juicio de expertos y para la confiabilidad de cada instrumento se utilizó el alfa de Crombach que salió alta en ambas variables: 0,872 para la variable evasión tributaria y 0,860 para la variable recaudación fiscal. Con referencia al objetivo general: Determinar la influencia de la evasión tributaria en la recaudación fiscal en el Perú, se concluye que existe influencia negativa de la evasión tributaria sobre la recaudación fiscal lo que se demuestra con el estadístico de regresión ordinal el cual arrojó una influencia de 90,8% de la variable evasión tributaria sobre la recaudación fiscal. Palabras","author":[{"dropping-particle":"","family":"Cornejo","given":"Shirley","non-dropping-particle":"","parse-names":false,"suffix":""}],"id":"ITEM-1","issued":{"date-parts":[["2017"]]},"publisher":"Tesis de pre grado, Universidad César Vallejo","title":"La evasión tributaria y su impacto en la recaudación fiscal en el Perú","type":"thesis"},"uris":["http://www.mendeley.com/documents/?uuid=39f88511-9c01-43e3-93a5-9bab4c5a0796"]}],"mendeley":{"formattedCitation":"(Cornejo, 2017)","plainTextFormattedCitation":"(Cornejo, 2017)","previouslyFormattedCitation":"(Cornejo, 2017)"},"properties":{"noteIndex":0},"schema":"https://github.com/citation-style-language/schema/raw/master/csl-citation.json"}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Cornejo (2017)</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en el estudio que realizó, encontró que en una muestra de comerciantes, que la poca valoración o desconocimiento de las normas, genera un impacto de hasta un 90.8% la recaudación fiscal.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{"citationItems":[{"id":"ITEM-1","itemData":{"ISSN":"16179846","abstract":"El presente trabajo de investigación tiene como objetivo demostrar que la informalidad y evasión fiscal en el mercado la Hermelinda inciden desfavorablemente en la recaudación tributaria, debido a la falta de cultura tributaria y las pocas acciones de control y sensibilización de la Administración Tributaria. En la investigación se aplicó técnicas de recojo de datos, como la encuesta mediante el uso de la guía del cuestionario, elaborado con preguntas vinculadas a los indicadores de las variables (evasión tributaria e informalidad y recaudación tributaria), aplicado a una muestra de 123 comerciantes del mercado La Hermelinda de Trujillo, de los diversos sectores tales como plástico, abarrotes, embutidos, calzado y ropa. Los resultados obtenidos demuestran qué, los comerciantes tienen baja conciencia tributaria, debido que existe una percepción negativa respecto a la falta de transparencia del gasto público y a una mala calidad en los servicios que brinda el Estado. Concluyendo que la informalidad y la evasión fiscal del mercado La Hermelinda, inciden de manera negativa en la recaudación tributaria, distrito de Trujillo, aproximadamente en S/. 38,500 mensuales y proyectado anual en S/. 492,000.00.","author":[{"dropping-particle":"","family":"Baca","given":"Lucero","non-dropping-particle":"","parse-names":false,"suffix":""},{"dropping-particle":"","family":"Córdova","given":"Marisa","non-dropping-particle":"","parse-names":false,"suffix":""}],"id":"ITEM-1","issued":{"date-parts":[["2016"]]},"publisher":"Tesis de pregrado, Universidad Privada Antenor Orrego","title":"La informalidad y evasión fiscal en el mercado la Hermelinda y su incidencia en la recaudación tributaria, distrito de Trujillo, año 2015.","type":"thesis"},"uris":["http://www.mendeley.com/documents/?uuid=a903282b-0d01-4f37-991c-a3f56fb9564a"]}],"mendeley":{"formattedCitation":"(Baca &amp; Córdova, 2016)","plainTextFormattedCitation":"(Baca &amp; Córdova, 2016)","previouslyFormattedCitation":"(Baca &amp; Córdova, 2016)"},"properties":{"noteIndex":0},"schema":"https://github.com/citation-style-language/schema/raw/master/csl-citation.json"}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Baca y Córdova (2016)</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en la investigación que realizó, pudo encontrar que aquellos comerciantes que no se encuentran inscritos en los regímenes tributarios existentes, contribuyen de manera negativa hacia los índices de recaudación fiscal, pero esto es consecuencia de la imagen de corrupción gubernamental, llegando a generar un vacío de recaudación de hasta 38,500 soles mensualmente.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{"citationItems":[{"id":"ITEM-1","itemData":{"abstract":"Los ingresos tributarios forman parte esencial del financiamiento del presupuesto general del estado en Ecuador, por ello resulta fundamental analizar las variables que afectanla recaudación fiscal en el país. En tal sentido, la informalidad, como fenómeno asociado a la evasión tributaria, con marcada presencia en la economía ecuatoriana, ha dado lugar a una importante producción investigativa, en lo concerniente a su relación con la tributación. El presente trabajo tiene por objetivorealizar una revisión de literatura sobre el estudio de la economía informal en Ecuador, en la línea de su relación con la recaudación tributaria, incluyendo también aspectos relativos a características, causas y consecuencias de este tipo de actividades, así como estrategias para superar la informalidad y la evasión fiscal asociada a la misma. La metodología del trabajo es cualitativa, con diseño documental y técnicas de revisión bibliográfica.La literatura,en general, y algunos estudios locales realizados en el paísdestacan un efecto negativo de la informalidad en la recaudación fiscal, sin embargo, estadísticas nacionales muestran que el aumento del trabajo informal en la segunda década del siglo XXI no se vio acompañado de una merma en dicha recaudación, lo que pudiera explicarse por la aplicación del Régimen Impositivo Simplificado Ecuatoriano, que favoreció el pago de contribuciones por agentes de la economía informal. Se concluye que se debe ofrecer capacitación sobre este tipo de mecanismo, para reducir el impacto de la informalidad en latributación; y aplicar estrategias innovadoras de formalización destinadas a evitar efectos desfavorables del trabajo informal","author":[{"dropping-particle":"","family":"Alava","given":"Alexandra","non-dropping-particle":"","parse-names":false,"suffix":""},{"dropping-particle":"","family":"Valderrama","given":"Gloria","non-dropping-particle":"","parse-names":false,"suffix":""}],"container-title":"Dissertare","id":"ITEM-1","issue":"2","issued":{"date-parts":[["2020"]]},"page":"14","title":"La informalidad y su relación con la recaudación tributaria. Estudios en el contexto de Ecuador","type":"article-journal","volume":"5"},"uris":["http://www.mendeley.com/documents/?uuid=e8737b8f-428d-4274-b930-23effcb229b9"]}],"mendeley":{"formattedCitation":"(Alava &amp; Valderrama, 2020)","plainTextFormattedCitation":"(Alava &amp; Valderrama, 2020)","previouslyFormattedCitation":"(Alava &amp; Valderrama, 2020)"},"properties":{"noteIndex":0},"schema":"https://github.com/citation-style-language/schema/raw/master/csl-citation.json"}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Alava y Valderrama (2020)</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encontraron en el estudio que realizaron que la informalidad se encuentra ligada a la poca generación de empleo, a la falta de educación, la ruralidad, entre algunas otras, que a su vez se encuentran en relación directa y estrecha con la evasión de obligaciones que son impositivas, por lo que la principal afectación de la informalidad es la recaudación fiscal. Además, se concluyó en que el aspecto positivo es para las familias de los comerciantes y el negativo para el crecimiento empresarial y económico de un país.</w:t>
      </w:r>
    </w:p>
    <w:p w14:paraId="79C5778B"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Por su parte,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{"citationItems":[{"id":"ITEM-1","itemData":{"DOI":"10.15381/quipu.v26i50.14723","ISSN":"1560-9103","abstract":"La investigación permitió explicar la Existencia de influencia de la Dimensión de la Informalidad de las Mypes en la Recaudación del IGV, durante el periodo 2010-2014, y por qué la Informalidad de las Mypes fue un factor que influencio en la Recaudación del IGV. Periodo 2010-2014, A partir de dicho objetivo, se realizó un análisis descriptivo – explicativo sobre la relación entre las variables para esto, se utilizó data oficial del Ministerio de la Producción, ministerio de trabajo, sunat entre otros.Siendo así, se obtuvo como principal resultado que si existe Influencia de la Dimensión de la Informalidad de las MYPES en la Recaudación del IGV en el periodo 2010-2014 y que el grado de dicha Influencia es estadísticamente significativa. De este modo, se concluyó que la Informalidad presente en las Mypes, afecta significativamente la recaudación del IGV. Y consiguientemente, los ingresos tributarios del gobierno central y es la principal barrera para lograr la tan necesaria ampliación de la base Tributaria. Además, La Informalidad es uno de los problemas que el gobierno no ha podido dar solución, las cifras señalan que estas, inclusive se encuentran por encima de las empresas que operan respetando las normas internas. Y si bien este tipo de empresas crean escenarios favorables para la captación de mano de obra, generan distorsiones severas que en nada contribuyen al proceso de desarrollo.","author":[{"dropping-particle":"","family":"Mostacero","given":"Dany","non-dropping-particle":"","parse-names":false,"suffix":""}],"container-title":"Quipukamayoc","id":"ITEM-1","issue":"50","issued":{"date-parts":[["2018"]]},"page":"41-50","title":"Informalidad En Las Mypes Y Su Influencia En La Recaudación Del Impuesto General a Las Ventas","type":"article-journal","volume":"26"},"uris":["http://www.mendeley.com/documents/?uuid=c810f0d4-b312-4ba8-946a-2b0d1c1eb93c"]}],"mendeley":{"formattedCitation":"(Mostacero, 2018)","plainTextFormattedCitation":"(Mostacero, 2018)","previouslyFormattedCitation":"(Mostacero, 2018)"},"properties":{"noteIndex":0},"schema":"https://github.com/citation-style-language/schema/raw/master/csl-citation.json"}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Mostacero (2018)</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realizó un estudio de las MYPES y encontró que la informalidad afecta en gran manera y significativamente a la recaudación del IGV, y que si bien es cierto mueven una economía emergente y para los ciudadanos más pobres, la misma no contribuye con la economía del país y provoca que las medidas económicas no favorezcan a los informales en términos de desarrollo económico y social. Para intentar entender mejor la situación de los pequeños comerciantes, </w:t>
      </w:r>
      <w:r w:rsidRPr="00E845CC">
        <w:rPr>
          <w:rFonts w:ascii="Times New Roman" w:hAnsi="Times New Roman" w:cs="Times New Roman"/>
          <w:lang w:val="es-PE"/>
        </w:rPr>
        <w:fldChar w:fldCharType="begin" w:fldLock="1"/>
      </w:r>
      <w:r w:rsidRPr="00E845CC">
        <w:rPr>
          <w:rFonts w:ascii="Times New Roman" w:hAnsi="Times New Roman" w:cs="Times New Roman"/>
          <w:lang w:val="es-PE"/>
        </w:rPr>
        <w:instrText>ADDIN CSL_CITATION {"citationItems":[{"id":"ITEM-1","itemData":{"DOI":"10.19052/ed.4171","ISSN":"1692-7311","abstract":"En este artículo se analizan los determinantes socioeconómicos conjuntos de la informalidad laboral y el subempleo en el área metropolitana de Bucaramanga (AMB). Para ello se realizó un análisis descriptivo y se estimó un modelo biprobit a partir de los microdatos de la Gran Encuesta Integrada de Hogares de 2015. Los resultados muestran que el 16,52 % de los trabajadores del AMB padecen conjuntamente ambos fenómenos. Dentro de las variables que disminuyen la probabilidad de pertenecer a este grupo se encuentran la escolaridad, el ser hombre y la edad. Por su parte, variables como el tiempo transcurrido entre empleos y trabajar en el sector secundario o terciario incrementan la probabilidad conjunta de ser informal y subempleado.","author":[{"dropping-particle":"","family":"Carvajal","given":"Aura","non-dropping-particle":"","parse-names":false,"suffix":""},{"dropping-particle":"","family":"Cárdenas","given":"Leidy","non-dropping-particle":"","parse-names":false,"suffix":""},{"dropping-particle":"","family":"Estrada","given":"Ismael","non-dropping-particle":"","parse-names":false,"suffix":""}],"container-title":"Equidad y Desarrollo","id":"ITEM-1","issue":"29","issued":{"date-parts":[["2017"]]},"page":"53-82","title":"Determinantes socioeconómicos de la informalidad laboral y el subempleo en el área Metropolitana de Bucaramanga, Colombia","type":"article-journal","volume":"1"},"uris":["http://www.mendeley.com/documents/?uuid=acb0db3b-98d4-432c-8e72-87809ede2924"]}],"mendeley":{"formattedCitation":"(Carvajal et al., 2017)","plainTextFormattedCitation":"(Carvajal et al., 2017)","previouslyFormattedCitation":"(Carvajal et al., 2017)"},"properties":{"noteIndex":0},"schema":"https://github.com/citation-style-language/schema/raw/master/csl-citation.json"}</w:instrText>
      </w:r>
      <w:r w:rsidRPr="00E845CC">
        <w:rPr>
          <w:rFonts w:ascii="Times New Roman" w:hAnsi="Times New Roman" w:cs="Times New Roman"/>
          <w:lang w:val="es-PE"/>
        </w:rPr>
        <w:fldChar w:fldCharType="separate"/>
      </w:r>
      <w:r w:rsidRPr="00E845CC">
        <w:rPr>
          <w:rFonts w:ascii="Times New Roman" w:hAnsi="Times New Roman" w:cs="Times New Roman"/>
          <w:lang w:val="es-PE"/>
        </w:rPr>
        <w:t>Carvajal et al. (2017)</w:t>
      </w:r>
      <w:r w:rsidRPr="00E845CC">
        <w:rPr>
          <w:rFonts w:ascii="Times New Roman" w:hAnsi="Times New Roman" w:cs="Times New Roman"/>
          <w:lang w:val="es-PE"/>
        </w:rPr>
        <w:fldChar w:fldCharType="end"/>
      </w:r>
      <w:r w:rsidRPr="00E845CC">
        <w:rPr>
          <w:rFonts w:ascii="Times New Roman" w:hAnsi="Times New Roman" w:cs="Times New Roman"/>
          <w:lang w:val="es-PE"/>
        </w:rPr>
        <w:t xml:space="preserve"> analizó los determinantes sociodemográficos conjuntos de la informalidad laboral y sub empleo, hizo uso del tipo de investigación descriptiva y analizó a la población activa económicamente. El estudio concluyo la escolaridad, el género y la edad generan mayor índice de formalidad laboral, mientras que laborar en sectores como el secundario o terciario facilita la informalidad laboral.</w:t>
      </w:r>
    </w:p>
    <w:p w14:paraId="7BD57677" w14:textId="77777777" w:rsidR="008A1537" w:rsidRDefault="008A1537" w:rsidP="00E845CC">
      <w:pPr>
        <w:widowControl w:val="0"/>
        <w:autoSpaceDE w:val="0"/>
        <w:autoSpaceDN w:val="0"/>
        <w:adjustRightInd w:val="0"/>
        <w:spacing w:after="12pt" w:line="18pt" w:lineRule="auto"/>
        <w:ind w:firstLine="28.35pt"/>
        <w:jc w:val="both"/>
        <w:rPr>
          <w:rFonts w:ascii="Times New Roman" w:hAnsi="Times New Roman" w:cs="Times New Roman"/>
          <w:b/>
          <w:bCs/>
          <w:lang w:val="es-PE"/>
        </w:rPr>
      </w:pPr>
    </w:p>
    <w:p w14:paraId="27881A7D" w14:textId="10DCA5E8" w:rsidR="00E845CC" w:rsidRPr="00E845CC" w:rsidRDefault="00E845CC" w:rsidP="008A1537">
      <w:pPr>
        <w:widowControl w:val="0"/>
        <w:autoSpaceDE w:val="0"/>
        <w:autoSpaceDN w:val="0"/>
        <w:adjustRightInd w:val="0"/>
        <w:spacing w:after="12pt" w:line="18pt" w:lineRule="auto"/>
        <w:ind w:firstLine="28.35pt"/>
        <w:jc w:val="center"/>
        <w:rPr>
          <w:rFonts w:ascii="Times New Roman" w:hAnsi="Times New Roman" w:cs="Times New Roman"/>
          <w:b/>
          <w:bCs/>
          <w:lang w:val="es-PE"/>
        </w:rPr>
      </w:pPr>
      <w:r w:rsidRPr="00E845CC">
        <w:rPr>
          <w:rFonts w:ascii="Times New Roman" w:hAnsi="Times New Roman" w:cs="Times New Roman"/>
          <w:b/>
          <w:bCs/>
          <w:lang w:val="es-PE"/>
        </w:rPr>
        <w:t>Conclusiones</w:t>
      </w:r>
    </w:p>
    <w:p w14:paraId="2B6D0527"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Considerando el propósito de estudio, el cual fue analizar la valoración de las infracciones comerciales, comprendidas por las tributarias y laborales, se llegó a la conclusión:</w:t>
      </w:r>
    </w:p>
    <w:p w14:paraId="106B778C"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La valoración hacia las infracciones tributarias, son consideradas como “grave” por una cantidad representativa de comerciantes participantes (42.3%), sin embargo, resulta preocupante porque no son ni la mitad de comerciantes, evidenciando de esta forma un nivel bajo de cultura fiscal o respeto por las normas fiscales.</w:t>
      </w:r>
    </w:p>
    <w:p w14:paraId="05D5E930"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El estudio también concluyó en que la valoración tributaria de acuerdo al régimen tributario tiene niveles bajos de valoración en el RER del 30.7%  de comerciantes son “de consideración” y aquellos que no están inscritos en ningún régimen (NA), del grupo de estos últimos, únicamente el 10.3% consideran que incumplir con los requisitos tributarios son falta “grave”, evidenciando que la cultura tributaria antes de ser parte formal del mercado es bastante baja; otro dato encontrado, importante, es que de acuerdo al tiempo en el mercado, aquellos comerciantes menores a siete años evidencian que mientras más pasen los años, mejor valoración tienen hacia las faltas tributarias, sin embargo, aquellos que tienen de siete años a más, vuelven a perder sensibilidad. Por otro lado, es importante mencionar que las faltas que son consideradas de mayor importancia, fueron la no tenencia de libros y la no licencia de funcionamiento.</w:t>
      </w:r>
    </w:p>
    <w:p w14:paraId="7A5F9A2B"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En relación a la valoración de las faltas laborales, el estudio concluyó en que más de la mitad de comerciantes participantes (64.4%) consideran que este tipo de falta son “grave”, evidenciando de esta forma una mayor sensibilidad por la parte laboral que fiscal.</w:t>
      </w:r>
    </w:p>
    <w:p w14:paraId="40AA6B9E"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En relación al análisis de valoración de las infracciones laborales, por régimen tributario, se encontró que en la valoración “grave” sobresale en las categorías de Nuevo RUS y MYPE, superando niveles de 80% pero en el caso del RER no se tiene ni al 50% de comerciantes que valoran las faltas laborales como “grave” y en el caso de aquellos comerciantes que no pertenecen a ningún régimen (NA) el porcentaje llegó a 35.3%, mostrando una mayor sensibilidad en este grupo hacia las faltas laborales que a las tributarias. </w:t>
      </w:r>
    </w:p>
    <w:p w14:paraId="64EF59F3"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En el caso del análisis de las faltas laborales, según el tiempo que tienen los comerciantes en el mercado, se encontró que mientras más avanza el tiempo en el mercado de los comerciantes, mejor es la valoración de las infracciones, pero este fenómeno solo hasta los 7 años de madurez de un negocio, ya que, pasado ese tiempo, los comerciantes no manifiestan un aumento de sensibilidad hacia las infracciones.</w:t>
      </w:r>
    </w:p>
    <w:p w14:paraId="4D5A990A" w14:textId="77777777" w:rsidR="00E845CC" w:rsidRPr="00E845CC" w:rsidRDefault="00E845CC" w:rsidP="00E845CC">
      <w:pPr>
        <w:widowControl w:val="0"/>
        <w:autoSpaceDE w:val="0"/>
        <w:autoSpaceDN w:val="0"/>
        <w:adjustRightInd w:val="0"/>
        <w:spacing w:after="12pt" w:line="18pt" w:lineRule="auto"/>
        <w:ind w:firstLine="28.35pt"/>
        <w:jc w:val="both"/>
        <w:rPr>
          <w:rFonts w:ascii="Times New Roman" w:hAnsi="Times New Roman" w:cs="Times New Roman"/>
          <w:lang w:val="es-PE"/>
        </w:rPr>
      </w:pPr>
      <w:r w:rsidRPr="00E845CC">
        <w:rPr>
          <w:rFonts w:ascii="Times New Roman" w:hAnsi="Times New Roman" w:cs="Times New Roman"/>
          <w:lang w:val="es-PE"/>
        </w:rPr>
        <w:t xml:space="preserve">Por último, en el caso de la revisión individual de las faltas, se encontró que la menos valorada es el respeto por el pago de una remuneración mínima, teniendo a menos del 50% de comerciantes considerando esta falta como “grave”, esto evidencia la informalidad que existe en los mercados en cuánto al pago a sus trabajadores. </w:t>
      </w:r>
    </w:p>
    <w:p w14:paraId="27AE05B4" w14:textId="77777777" w:rsidR="00E845CC" w:rsidRPr="00C0608D" w:rsidRDefault="00E845CC" w:rsidP="008A1537">
      <w:pPr>
        <w:widowControl w:val="0"/>
        <w:autoSpaceDE w:val="0"/>
        <w:autoSpaceDN w:val="0"/>
        <w:adjustRightInd w:val="0"/>
        <w:spacing w:after="12pt" w:line="18pt" w:lineRule="auto"/>
        <w:ind w:firstLine="28.35pt"/>
        <w:jc w:val="center"/>
        <w:rPr>
          <w:rFonts w:ascii="Times New Roman" w:hAnsi="Times New Roman" w:cs="Times New Roman"/>
          <w:b/>
          <w:bCs/>
          <w:lang w:val="pt-BR"/>
        </w:rPr>
      </w:pPr>
      <w:r w:rsidRPr="00C0608D">
        <w:rPr>
          <w:rFonts w:ascii="Times New Roman" w:hAnsi="Times New Roman" w:cs="Times New Roman"/>
          <w:b/>
          <w:bCs/>
          <w:lang w:val="pt-BR"/>
        </w:rPr>
        <w:t>Referencias Bibliográficas</w:t>
      </w:r>
    </w:p>
    <w:p w14:paraId="5A1D8189" w14:textId="77777777" w:rsidR="00E845CC" w:rsidRPr="00C0608D"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pt-BR"/>
        </w:rPr>
      </w:pPr>
      <w:r w:rsidRPr="00E845CC">
        <w:rPr>
          <w:rFonts w:ascii="Times New Roman" w:hAnsi="Times New Roman" w:cs="Times New Roman"/>
          <w:lang w:val="es-PE"/>
        </w:rPr>
        <w:fldChar w:fldCharType="begin" w:fldLock="1"/>
      </w:r>
      <w:r w:rsidRPr="00C0608D">
        <w:rPr>
          <w:rFonts w:ascii="Times New Roman" w:hAnsi="Times New Roman" w:cs="Times New Roman"/>
          <w:lang w:val="pt-BR"/>
        </w:rPr>
        <w:instrText xml:space="preserve">ADDIN Mendeley Bibliography CSL_BIBLIOGRAPHY </w:instrText>
      </w:r>
      <w:r w:rsidRPr="00E845CC">
        <w:rPr>
          <w:rFonts w:ascii="Times New Roman" w:hAnsi="Times New Roman" w:cs="Times New Roman"/>
          <w:lang w:val="es-PE"/>
        </w:rPr>
        <w:fldChar w:fldCharType="separate"/>
      </w:r>
      <w:r w:rsidRPr="00C0608D">
        <w:rPr>
          <w:rFonts w:ascii="Times New Roman" w:hAnsi="Times New Roman" w:cs="Times New Roman"/>
          <w:lang w:val="pt-BR"/>
        </w:rPr>
        <w:t xml:space="preserve">Alava, A., &amp; Valderrama, G. (2020). </w:t>
      </w:r>
      <w:r w:rsidRPr="00E845CC">
        <w:rPr>
          <w:rFonts w:ascii="Times New Roman" w:hAnsi="Times New Roman" w:cs="Times New Roman"/>
          <w:lang w:val="es-PE"/>
        </w:rPr>
        <w:t xml:space="preserve">La informalidad y su relación con la recaudación tributaria. Estudios en el contexto de Ecuador. </w:t>
      </w:r>
      <w:r w:rsidRPr="00C0608D">
        <w:rPr>
          <w:rFonts w:ascii="Times New Roman" w:hAnsi="Times New Roman" w:cs="Times New Roman"/>
          <w:i/>
          <w:iCs/>
          <w:lang w:val="pt-BR"/>
        </w:rPr>
        <w:t>Dissertare</w:t>
      </w:r>
      <w:r w:rsidRPr="00C0608D">
        <w:rPr>
          <w:rFonts w:ascii="Times New Roman" w:hAnsi="Times New Roman" w:cs="Times New Roman"/>
          <w:lang w:val="pt-BR"/>
        </w:rPr>
        <w:t xml:space="preserve">, </w:t>
      </w:r>
      <w:r w:rsidRPr="00C0608D">
        <w:rPr>
          <w:rFonts w:ascii="Times New Roman" w:hAnsi="Times New Roman" w:cs="Times New Roman"/>
          <w:i/>
          <w:iCs/>
          <w:lang w:val="pt-BR"/>
        </w:rPr>
        <w:t>5</w:t>
      </w:r>
      <w:r w:rsidRPr="00C0608D">
        <w:rPr>
          <w:rFonts w:ascii="Times New Roman" w:hAnsi="Times New Roman" w:cs="Times New Roman"/>
          <w:lang w:val="pt-BR"/>
        </w:rPr>
        <w:t>(2), 14. https://revistas.uclave.org/index.php/dissertare/article/view/2793/1750</w:t>
      </w:r>
    </w:p>
    <w:p w14:paraId="38FF58FC"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Baca, L., &amp; Córdova, M. (2016). </w:t>
      </w:r>
      <w:r w:rsidRPr="00E845CC">
        <w:rPr>
          <w:rFonts w:ascii="Times New Roman" w:hAnsi="Times New Roman" w:cs="Times New Roman"/>
          <w:i/>
          <w:iCs/>
          <w:lang w:val="es-PE"/>
        </w:rPr>
        <w:t>La informalidad y evasión fiscal en el mercado la Hermelinda y su incidencia en la recaudación tributaria, distrito de Trujillo, año 2015.</w:t>
      </w:r>
      <w:r w:rsidRPr="00E845CC">
        <w:rPr>
          <w:rFonts w:ascii="Times New Roman" w:hAnsi="Times New Roman" w:cs="Times New Roman"/>
          <w:lang w:val="es-PE"/>
        </w:rPr>
        <w:t xml:space="preserve"> [Tesis de pregrado, Universidad Privada Antenor Orrego]. https://repositorio.upao.edu.pe/bitstream/20.500.12759/2343/1/RE_CONT_LUCERO.BACA_MARISA.CORDOVA_LA.INFORMALIDAD.Y.EVASION.FISCAL.EN.EL.MERCADO.LA.HERMELINDA_DATOS.pdf</w:t>
      </w:r>
    </w:p>
    <w:p w14:paraId="37058AD2"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Caballero, E. (2018). Infracciones Tributarias. Los elementos de la defraudación en la Ley N</w:t>
      </w:r>
      <w:r w:rsidRPr="00E845CC">
        <w:rPr>
          <w:rFonts w:ascii="Times New Roman" w:hAnsi="Times New Roman" w:cs="Times New Roman"/>
          <w:vertAlign w:val="superscript"/>
          <w:lang w:val="es-PE"/>
        </w:rPr>
        <w:t>o</w:t>
      </w:r>
      <w:r w:rsidRPr="00E845CC">
        <w:rPr>
          <w:rFonts w:ascii="Times New Roman" w:hAnsi="Times New Roman" w:cs="Times New Roman"/>
          <w:lang w:val="es-PE"/>
        </w:rPr>
        <w:t xml:space="preserve"> 125/91. </w:t>
      </w:r>
      <w:r w:rsidRPr="00E845CC">
        <w:rPr>
          <w:rFonts w:ascii="Times New Roman" w:hAnsi="Times New Roman" w:cs="Times New Roman"/>
          <w:i/>
          <w:iCs/>
          <w:lang w:val="es-PE"/>
        </w:rPr>
        <w:t>Revista Científica OMNES</w:t>
      </w:r>
      <w:r w:rsidRPr="00E845CC">
        <w:rPr>
          <w:rFonts w:ascii="Times New Roman" w:hAnsi="Times New Roman" w:cs="Times New Roman"/>
          <w:lang w:val="es-PE"/>
        </w:rPr>
        <w:t xml:space="preserve">, </w:t>
      </w:r>
      <w:r w:rsidRPr="00E845CC">
        <w:rPr>
          <w:rFonts w:ascii="Times New Roman" w:hAnsi="Times New Roman" w:cs="Times New Roman"/>
          <w:i/>
          <w:iCs/>
          <w:lang w:val="es-PE"/>
        </w:rPr>
        <w:t>1</w:t>
      </w:r>
      <w:r w:rsidRPr="00E845CC">
        <w:rPr>
          <w:rFonts w:ascii="Times New Roman" w:hAnsi="Times New Roman" w:cs="Times New Roman"/>
          <w:lang w:val="es-PE"/>
        </w:rPr>
        <w:t>(1), 7–19. https://www.columbia.edu.py/investigacion/ojs/index.php/OMNESUCPY/article/view/4</w:t>
      </w:r>
    </w:p>
    <w:p w14:paraId="6AAB7ADF"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Carrasco, C. (2018). </w:t>
      </w:r>
      <w:r w:rsidRPr="00E845CC">
        <w:rPr>
          <w:rFonts w:ascii="Times New Roman" w:hAnsi="Times New Roman" w:cs="Times New Roman"/>
          <w:i/>
          <w:iCs/>
          <w:lang w:val="es-PE"/>
        </w:rPr>
        <w:t>Las Infracciones Tributarias Y Su Incidencia En La Situación Financiera Del Hotel Amanecer En El Año 2016</w:t>
      </w:r>
      <w:r w:rsidRPr="00E845CC">
        <w:rPr>
          <w:rFonts w:ascii="Times New Roman" w:hAnsi="Times New Roman" w:cs="Times New Roman"/>
          <w:lang w:val="es-PE"/>
        </w:rPr>
        <w:t xml:space="preserve"> [Tesis de pregrado, Universidad Autónoma del Perú]. https://repositorio.autonoma.edu.pe/bitstream/handle/20.500.13067/608/CYNTHIA CARRASCO DAVILA.pdf?sequence=1&amp;isAllowed=y</w:t>
      </w:r>
    </w:p>
    <w:p w14:paraId="4F959C05"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pt-BR"/>
        </w:rPr>
        <w:t xml:space="preserve">Carvajal, A., Cárdenas, L., &amp; Estrada, I. (2017). </w:t>
      </w:r>
      <w:r w:rsidRPr="00E845CC">
        <w:rPr>
          <w:rFonts w:ascii="Times New Roman" w:hAnsi="Times New Roman" w:cs="Times New Roman"/>
          <w:lang w:val="es-PE"/>
        </w:rPr>
        <w:t xml:space="preserve">Determinantes socioeconómicos de la informalidad laboral y el subempleo en el área Metropolitana de Bucaramanga, Colombia. </w:t>
      </w:r>
      <w:r w:rsidRPr="00E845CC">
        <w:rPr>
          <w:rFonts w:ascii="Times New Roman" w:hAnsi="Times New Roman" w:cs="Times New Roman"/>
          <w:i/>
          <w:iCs/>
          <w:lang w:val="es-PE"/>
        </w:rPr>
        <w:t>Equidad y Desarrollo</w:t>
      </w:r>
      <w:r w:rsidRPr="00E845CC">
        <w:rPr>
          <w:rFonts w:ascii="Times New Roman" w:hAnsi="Times New Roman" w:cs="Times New Roman"/>
          <w:lang w:val="es-PE"/>
        </w:rPr>
        <w:t xml:space="preserve">, </w:t>
      </w:r>
      <w:r w:rsidRPr="00E845CC">
        <w:rPr>
          <w:rFonts w:ascii="Times New Roman" w:hAnsi="Times New Roman" w:cs="Times New Roman"/>
          <w:i/>
          <w:iCs/>
          <w:lang w:val="es-PE"/>
        </w:rPr>
        <w:t>1</w:t>
      </w:r>
      <w:r w:rsidRPr="00E845CC">
        <w:rPr>
          <w:rFonts w:ascii="Times New Roman" w:hAnsi="Times New Roman" w:cs="Times New Roman"/>
          <w:lang w:val="es-PE"/>
        </w:rPr>
        <w:t>(29), 53–82. https://doi.org/10.19052/ed.4171</w:t>
      </w:r>
    </w:p>
    <w:p w14:paraId="398F51F2"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Chávez, R. (2019). </w:t>
      </w:r>
      <w:r w:rsidRPr="00E845CC">
        <w:rPr>
          <w:rFonts w:ascii="Times New Roman" w:hAnsi="Times New Roman" w:cs="Times New Roman"/>
          <w:i/>
          <w:iCs/>
          <w:lang w:val="es-PE"/>
        </w:rPr>
        <w:t>Infracciones laborales en las MYPES Ferreteras de la ciudad de Tingo María: 2017</w:t>
      </w:r>
      <w:r w:rsidRPr="00E845CC">
        <w:rPr>
          <w:rFonts w:ascii="Times New Roman" w:hAnsi="Times New Roman" w:cs="Times New Roman"/>
          <w:lang w:val="es-PE"/>
        </w:rPr>
        <w:t>. [Tesis de pregrado, Universidad Nacional Agraria de la Selva].</w:t>
      </w:r>
    </w:p>
    <w:p w14:paraId="4A477A7E"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Cornejo, S. (2017). </w:t>
      </w:r>
      <w:r w:rsidRPr="00E845CC">
        <w:rPr>
          <w:rFonts w:ascii="Times New Roman" w:hAnsi="Times New Roman" w:cs="Times New Roman"/>
          <w:i/>
          <w:iCs/>
          <w:lang w:val="es-PE"/>
        </w:rPr>
        <w:t>La evasión tributaria y su impacto en la recaudación fiscal en el Perú</w:t>
      </w:r>
      <w:r w:rsidRPr="00E845CC">
        <w:rPr>
          <w:rFonts w:ascii="Times New Roman" w:hAnsi="Times New Roman" w:cs="Times New Roman"/>
          <w:lang w:val="es-PE"/>
        </w:rPr>
        <w:t xml:space="preserve"> [Tesis de pre grado, Universidad César Vallejo]. https://repositorio.ucv.edu.pe/bitstream/handle/20.500.12692/14553/Cornejo_ESA.pdf?sequence=1&amp;isAllowed=y</w:t>
      </w:r>
    </w:p>
    <w:p w14:paraId="33331BDA"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Cuba, S. (2017). </w:t>
      </w:r>
      <w:r w:rsidRPr="00E845CC">
        <w:rPr>
          <w:rFonts w:ascii="Times New Roman" w:hAnsi="Times New Roman" w:cs="Times New Roman"/>
          <w:i/>
          <w:iCs/>
          <w:lang w:val="es-PE"/>
        </w:rPr>
        <w:t>Análisis de los Factores que Determinan la Informalidad Laboral en el Distrito de Puno, 2016</w:t>
      </w:r>
      <w:r w:rsidRPr="00E845CC">
        <w:rPr>
          <w:rFonts w:ascii="Times New Roman" w:hAnsi="Times New Roman" w:cs="Times New Roman"/>
          <w:lang w:val="es-PE"/>
        </w:rPr>
        <w:t xml:space="preserve"> [Tesis de pregrado, Universidad Nacional del Altiplano]. http://repositorio.unap.edu.pe/handle/UNAP/5564</w:t>
      </w:r>
    </w:p>
    <w:p w14:paraId="4AC03922"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El Comercio. (2021, November 15). Informalidad laboral alcanzó al 78,2% de peruanos en el último año, según INEI. </w:t>
      </w:r>
      <w:r w:rsidRPr="00E845CC">
        <w:rPr>
          <w:rFonts w:ascii="Times New Roman" w:hAnsi="Times New Roman" w:cs="Times New Roman"/>
          <w:i/>
          <w:iCs/>
          <w:lang w:val="es-PE"/>
        </w:rPr>
        <w:t>El Comercio</w:t>
      </w:r>
      <w:r w:rsidRPr="00E845CC">
        <w:rPr>
          <w:rFonts w:ascii="Times New Roman" w:hAnsi="Times New Roman" w:cs="Times New Roman"/>
          <w:lang w:val="es-PE"/>
        </w:rPr>
        <w:t>. https://elcomercio.pe/economia/peru/informalidad-laboral-alcanzo-al-782-de-peruanos-en-el-ultimo-ano-segun-inei-noticia/</w:t>
      </w:r>
    </w:p>
    <w:p w14:paraId="4B5CBD5E"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El Peruano. (2022, February 22). Recaudación tributaria creció 88.2% en agosto. </w:t>
      </w:r>
      <w:r w:rsidRPr="00E845CC">
        <w:rPr>
          <w:rFonts w:ascii="Times New Roman" w:hAnsi="Times New Roman" w:cs="Times New Roman"/>
          <w:i/>
          <w:iCs/>
          <w:lang w:val="es-PE"/>
        </w:rPr>
        <w:t>El Peruano2</w:t>
      </w:r>
      <w:r w:rsidRPr="00E845CC">
        <w:rPr>
          <w:rFonts w:ascii="Times New Roman" w:hAnsi="Times New Roman" w:cs="Times New Roman"/>
          <w:lang w:val="es-PE"/>
        </w:rPr>
        <w:t>. https://elperuano.pe/noticia/128255-recaudacion-tributaria-crecio-882-en-agosto</w:t>
      </w:r>
    </w:p>
    <w:p w14:paraId="3FD9AE31"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García, E. (2016). </w:t>
      </w:r>
      <w:r w:rsidRPr="00E845CC">
        <w:rPr>
          <w:rFonts w:ascii="Times New Roman" w:hAnsi="Times New Roman" w:cs="Times New Roman"/>
          <w:i/>
          <w:iCs/>
          <w:lang w:val="es-PE"/>
        </w:rPr>
        <w:t>Los órganos de control del estado y la informalidad laoral en las micro y pequeñas empresas de la ciudad de Tingo María - 2016</w:t>
      </w:r>
      <w:r w:rsidRPr="00E845CC">
        <w:rPr>
          <w:rFonts w:ascii="Times New Roman" w:hAnsi="Times New Roman" w:cs="Times New Roman"/>
          <w:lang w:val="es-PE"/>
        </w:rPr>
        <w:t xml:space="preserve"> [Tesis de pregrado, Universidad de Huánuco]. http://repositorio.udh.edu.pe/handle/123456789/459</w:t>
      </w:r>
    </w:p>
    <w:p w14:paraId="1CFC6EFC"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Gonzales, E. (2019). </w:t>
      </w:r>
      <w:r w:rsidRPr="00E845CC">
        <w:rPr>
          <w:rFonts w:ascii="Times New Roman" w:hAnsi="Times New Roman" w:cs="Times New Roman"/>
          <w:i/>
          <w:iCs/>
          <w:lang w:val="es-PE"/>
        </w:rPr>
        <w:t>La evasión tributaria y su incidencia en la recaudación fiscal de las empresas de delivery- Pymes en Lima Metropolitana Período 2014-2018.</w:t>
      </w:r>
      <w:r w:rsidRPr="00E845CC">
        <w:rPr>
          <w:rFonts w:ascii="Times New Roman" w:hAnsi="Times New Roman" w:cs="Times New Roman"/>
          <w:lang w:val="es-PE"/>
        </w:rPr>
        <w:t xml:space="preserve"> [Tesis maestria, Universidad San Martín de Porres]. https://repositorio.usmp.edu.pe/bitstream/handle/20.500.12727/5660/gonzales_reh.pdf?sequence=3&amp;isAllowed=y</w:t>
      </w:r>
    </w:p>
    <w:p w14:paraId="1B3A8394"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López, N., &amp; Sandoval, I. (2016). Métodos y técnicas de investigación cuantitativa y cualitativa. </w:t>
      </w:r>
      <w:r w:rsidRPr="00E845CC">
        <w:rPr>
          <w:rFonts w:ascii="Times New Roman" w:hAnsi="Times New Roman" w:cs="Times New Roman"/>
          <w:i/>
          <w:iCs/>
          <w:lang w:val="es-PE"/>
        </w:rPr>
        <w:t>Malaysian Journal of Public Health Medicine</w:t>
      </w:r>
      <w:r w:rsidRPr="00E845CC">
        <w:rPr>
          <w:rFonts w:ascii="Times New Roman" w:hAnsi="Times New Roman" w:cs="Times New Roman"/>
          <w:lang w:val="es-PE"/>
        </w:rPr>
        <w:t xml:space="preserve">, </w:t>
      </w:r>
      <w:r w:rsidRPr="00E845CC">
        <w:rPr>
          <w:rFonts w:ascii="Times New Roman" w:hAnsi="Times New Roman" w:cs="Times New Roman"/>
          <w:i/>
          <w:iCs/>
          <w:lang w:val="es-PE"/>
        </w:rPr>
        <w:t>15</w:t>
      </w:r>
      <w:r w:rsidRPr="00E845CC">
        <w:rPr>
          <w:rFonts w:ascii="Times New Roman" w:hAnsi="Times New Roman" w:cs="Times New Roman"/>
          <w:lang w:val="es-PE"/>
        </w:rPr>
        <w:t>(2), 17–23.</w:t>
      </w:r>
    </w:p>
    <w:p w14:paraId="2ED689ED"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Macedo, J. (2020). </w:t>
      </w:r>
      <w:r w:rsidRPr="00E845CC">
        <w:rPr>
          <w:rFonts w:ascii="Times New Roman" w:hAnsi="Times New Roman" w:cs="Times New Roman"/>
          <w:i/>
          <w:iCs/>
          <w:lang w:val="es-PE"/>
        </w:rPr>
        <w:t>Auditoría Tributaria y su Incidencia en la Reducción de la Evasión Tributario, de las Mypes de la Ciudad de Huaraz, 2013</w:t>
      </w:r>
      <w:r w:rsidRPr="00E845CC">
        <w:rPr>
          <w:rFonts w:ascii="Times New Roman" w:hAnsi="Times New Roman" w:cs="Times New Roman"/>
          <w:lang w:val="es-PE"/>
        </w:rPr>
        <w:t xml:space="preserve"> [Tesis de pre grado, Universidad Nacional Santiago Antúnez de Mayolo]. http://repositorio.unasam.edu.pe/bitstream/handle/UNASAM/4491/T033_31667520_M.pdf?sequence=1&amp;isAllowed=y</w:t>
      </w:r>
    </w:p>
    <w:p w14:paraId="777615AC"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Monerri, C. (2017). El trabajador como sujeto infractor en materia de prevención de riesgos laborales. </w:t>
      </w:r>
      <w:r w:rsidRPr="00E845CC">
        <w:rPr>
          <w:rFonts w:ascii="Times New Roman" w:hAnsi="Times New Roman" w:cs="Times New Roman"/>
          <w:i/>
          <w:iCs/>
          <w:lang w:val="es-PE"/>
        </w:rPr>
        <w:t>Anales de Derecho</w:t>
      </w:r>
      <w:r w:rsidRPr="00E845CC">
        <w:rPr>
          <w:rFonts w:ascii="Times New Roman" w:hAnsi="Times New Roman" w:cs="Times New Roman"/>
          <w:lang w:val="es-PE"/>
        </w:rPr>
        <w:t xml:space="preserve">, </w:t>
      </w:r>
      <w:r w:rsidRPr="00E845CC">
        <w:rPr>
          <w:rFonts w:ascii="Times New Roman" w:hAnsi="Times New Roman" w:cs="Times New Roman"/>
          <w:i/>
          <w:iCs/>
          <w:lang w:val="es-PE"/>
        </w:rPr>
        <w:t>35</w:t>
      </w:r>
      <w:r w:rsidRPr="00E845CC">
        <w:rPr>
          <w:rFonts w:ascii="Times New Roman" w:hAnsi="Times New Roman" w:cs="Times New Roman"/>
          <w:lang w:val="es-PE"/>
        </w:rPr>
        <w:t>(1), 210–240. https://revistas.um.es/analesderecho/article/view/288781/216441</w:t>
      </w:r>
    </w:p>
    <w:p w14:paraId="082A59C1"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Mostacero, D. (2018). Informalidad En Las Mypes Y Su Influencia En La Recaudación Del Impuesto General a Las Ventas. </w:t>
      </w:r>
      <w:r w:rsidRPr="00E845CC">
        <w:rPr>
          <w:rFonts w:ascii="Times New Roman" w:hAnsi="Times New Roman" w:cs="Times New Roman"/>
          <w:i/>
          <w:iCs/>
          <w:lang w:val="es-PE"/>
        </w:rPr>
        <w:t>Quipukamayoc</w:t>
      </w:r>
      <w:r w:rsidRPr="00E845CC">
        <w:rPr>
          <w:rFonts w:ascii="Times New Roman" w:hAnsi="Times New Roman" w:cs="Times New Roman"/>
          <w:lang w:val="es-PE"/>
        </w:rPr>
        <w:t xml:space="preserve">, </w:t>
      </w:r>
      <w:r w:rsidRPr="00E845CC">
        <w:rPr>
          <w:rFonts w:ascii="Times New Roman" w:hAnsi="Times New Roman" w:cs="Times New Roman"/>
          <w:i/>
          <w:iCs/>
          <w:lang w:val="es-PE"/>
        </w:rPr>
        <w:t>26</w:t>
      </w:r>
      <w:r w:rsidRPr="00E845CC">
        <w:rPr>
          <w:rFonts w:ascii="Times New Roman" w:hAnsi="Times New Roman" w:cs="Times New Roman"/>
          <w:lang w:val="es-PE"/>
        </w:rPr>
        <w:t>(50), 41–50. https://doi.org/10.15381/quipu.v26i50.14723</w:t>
      </w:r>
    </w:p>
    <w:p w14:paraId="5BC1F4BD"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Olaza, D. (2020). </w:t>
      </w:r>
      <w:r w:rsidRPr="00E845CC">
        <w:rPr>
          <w:rFonts w:ascii="Times New Roman" w:hAnsi="Times New Roman" w:cs="Times New Roman"/>
          <w:i/>
          <w:iCs/>
          <w:lang w:val="es-PE"/>
        </w:rPr>
        <w:t>Infracciones Laborales en los Empleadores en el Rubro de Restaurantes en la Ciudad de Tingo María</w:t>
      </w:r>
      <w:r w:rsidRPr="00E845CC">
        <w:rPr>
          <w:rFonts w:ascii="Times New Roman" w:hAnsi="Times New Roman" w:cs="Times New Roman"/>
          <w:lang w:val="es-PE"/>
        </w:rPr>
        <w:t xml:space="preserve"> [Tesis de pregrado, Universidad Nacional Agraria de la Selva]. http://repositorio.unas.edu.pe/bitstream/handle/UNAS/1820/TS_OSDB_2020_1.pdf?sequence=4&amp;isAllowed=y</w:t>
      </w:r>
    </w:p>
    <w:p w14:paraId="3AD6D645"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Patiño, R., Mendoza, S., Quitanilla, D., &amp; Montenegro, J. (2019). Evasión tributaria, una revisión. </w:t>
      </w:r>
      <w:r w:rsidRPr="00E845CC">
        <w:rPr>
          <w:rFonts w:ascii="Times New Roman" w:hAnsi="Times New Roman" w:cs="Times New Roman"/>
          <w:i/>
          <w:iCs/>
          <w:lang w:val="es-PE"/>
        </w:rPr>
        <w:t>Revista Activos2</w:t>
      </w:r>
      <w:r w:rsidRPr="00E845CC">
        <w:rPr>
          <w:rFonts w:ascii="Times New Roman" w:hAnsi="Times New Roman" w:cs="Times New Roman"/>
          <w:lang w:val="es-PE"/>
        </w:rPr>
        <w:t xml:space="preserve">, </w:t>
      </w:r>
      <w:r w:rsidRPr="00E845CC">
        <w:rPr>
          <w:rFonts w:ascii="Times New Roman" w:hAnsi="Times New Roman" w:cs="Times New Roman"/>
          <w:i/>
          <w:iCs/>
          <w:lang w:val="es-PE"/>
        </w:rPr>
        <w:t>17</w:t>
      </w:r>
      <w:r w:rsidRPr="00E845CC">
        <w:rPr>
          <w:rFonts w:ascii="Times New Roman" w:hAnsi="Times New Roman" w:cs="Times New Roman"/>
          <w:lang w:val="es-PE"/>
        </w:rPr>
        <w:t>(1), 167–194. https://com-mendeley-prod-publicsharing-pdfstore.s3.eu-west-1.amazonaws.com/7bf4-CC-BY-2/10.15332/25005278.5399.pdf?X-Amz-Security-Token=IQoJb3JpZ2luX2VjEJ7%2F%2F%2F%2F%2F%2F%2F%2F%2F%2FwEaCWV1LXdlc3QtMSJIMEYCIQCCcyTQPPt9sOhtDTKzyMtwFAidXEuP6bqAeCSoV9fMlQ</w:t>
      </w:r>
    </w:p>
    <w:p w14:paraId="5EE6E636"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Rojas, M. (2015). Tipos de Investigación científica: Una simplificación de la complicada incoherente nomenclatura y clasificación. </w:t>
      </w:r>
      <w:r w:rsidRPr="00E845CC">
        <w:rPr>
          <w:rFonts w:ascii="Times New Roman" w:hAnsi="Times New Roman" w:cs="Times New Roman"/>
          <w:i/>
          <w:iCs/>
          <w:lang w:val="es-PE"/>
        </w:rPr>
        <w:t>Revista Electronica de Veterinaria</w:t>
      </w:r>
      <w:r w:rsidRPr="00E845CC">
        <w:rPr>
          <w:rFonts w:ascii="Times New Roman" w:hAnsi="Times New Roman" w:cs="Times New Roman"/>
          <w:lang w:val="es-PE"/>
        </w:rPr>
        <w:t xml:space="preserve">, </w:t>
      </w:r>
      <w:r w:rsidRPr="00E845CC">
        <w:rPr>
          <w:rFonts w:ascii="Times New Roman" w:hAnsi="Times New Roman" w:cs="Times New Roman"/>
          <w:i/>
          <w:iCs/>
          <w:lang w:val="es-PE"/>
        </w:rPr>
        <w:t>16</w:t>
      </w:r>
      <w:r w:rsidRPr="00E845CC">
        <w:rPr>
          <w:rFonts w:ascii="Times New Roman" w:hAnsi="Times New Roman" w:cs="Times New Roman"/>
          <w:lang w:val="es-PE"/>
        </w:rPr>
        <w:t>(1), 1–14.</w:t>
      </w:r>
    </w:p>
    <w:p w14:paraId="5B1A9AF4"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Santillán, C., &amp; Barbaran, P. (2021). La figura de la evasión tributaria y sus implicancias en el desarrollo socioeconómico del estado. </w:t>
      </w:r>
      <w:r w:rsidRPr="00E845CC">
        <w:rPr>
          <w:rFonts w:ascii="Times New Roman" w:hAnsi="Times New Roman" w:cs="Times New Roman"/>
          <w:i/>
          <w:iCs/>
          <w:lang w:val="es-PE"/>
        </w:rPr>
        <w:t>Ciencia Latina Revista Científica Multidisciplinar</w:t>
      </w:r>
      <w:r w:rsidRPr="00E845CC">
        <w:rPr>
          <w:rFonts w:ascii="Times New Roman" w:hAnsi="Times New Roman" w:cs="Times New Roman"/>
          <w:lang w:val="es-PE"/>
        </w:rPr>
        <w:t xml:space="preserve">, </w:t>
      </w:r>
      <w:r w:rsidRPr="00E845CC">
        <w:rPr>
          <w:rFonts w:ascii="Times New Roman" w:hAnsi="Times New Roman" w:cs="Times New Roman"/>
          <w:i/>
          <w:iCs/>
          <w:lang w:val="es-PE"/>
        </w:rPr>
        <w:t>5</w:t>
      </w:r>
      <w:r w:rsidRPr="00E845CC">
        <w:rPr>
          <w:rFonts w:ascii="Times New Roman" w:hAnsi="Times New Roman" w:cs="Times New Roman"/>
          <w:lang w:val="es-PE"/>
        </w:rPr>
        <w:t>(4), 5097–5111. https://doi.org/10.37811/cl_rcm.v5i4.678</w:t>
      </w:r>
    </w:p>
    <w:p w14:paraId="26B76DB7" w14:textId="77777777" w:rsidR="00E845CC" w:rsidRP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t xml:space="preserve">Sihuacuyo, J., &amp; Arisaca, L. (2017). </w:t>
      </w:r>
      <w:r w:rsidRPr="00E845CC">
        <w:rPr>
          <w:rFonts w:ascii="Times New Roman" w:hAnsi="Times New Roman" w:cs="Times New Roman"/>
          <w:i/>
          <w:iCs/>
          <w:lang w:val="es-PE"/>
        </w:rPr>
        <w:t>Infracciones tributarias y la utilidad de las empresas del emporio de Gamarra durante, los periodos 2012-2015, Lima Perú</w:t>
      </w:r>
      <w:r w:rsidRPr="00E845CC">
        <w:rPr>
          <w:rFonts w:ascii="Times New Roman" w:hAnsi="Times New Roman" w:cs="Times New Roman"/>
          <w:lang w:val="es-PE"/>
        </w:rPr>
        <w:t xml:space="preserve"> [Tesis de pregrado, Universidad Peruana Unión]. https://www.columbia.edu.py/investigacion/ojs/index.php/OMNESUCPY/article/view/4/15</w:t>
      </w:r>
    </w:p>
    <w:p w14:paraId="7B672729" w14:textId="65F8CE9C" w:rsidR="00E845CC" w:rsidRDefault="00E845CC" w:rsidP="00E845CC">
      <w:pPr>
        <w:widowControl w:val="0"/>
        <w:autoSpaceDE w:val="0"/>
        <w:autoSpaceDN w:val="0"/>
        <w:adjustRightInd w:val="0"/>
        <w:spacing w:after="12pt" w:line="18pt" w:lineRule="auto"/>
        <w:ind w:start="28.35pt" w:hanging="28.35pt"/>
        <w:jc w:val="both"/>
        <w:rPr>
          <w:rFonts w:ascii="Times New Roman" w:hAnsi="Times New Roman" w:cs="Times New Roman"/>
          <w:lang w:val="es-PE"/>
        </w:rPr>
      </w:pPr>
      <w:r w:rsidRPr="00E845CC">
        <w:rPr>
          <w:rFonts w:ascii="Times New Roman" w:hAnsi="Times New Roman" w:cs="Times New Roman"/>
          <w:lang w:val="es-PE"/>
        </w:rPr>
        <w:fldChar w:fldCharType="end"/>
      </w:r>
    </w:p>
    <w:p w14:paraId="4BC6806E" w14:textId="77777777" w:rsidR="00E845CC" w:rsidRPr="0029731D" w:rsidRDefault="00E845CC" w:rsidP="00E845CC">
      <w:pPr>
        <w:widowControl w:val="0"/>
        <w:autoSpaceDE w:val="0"/>
        <w:autoSpaceDN w:val="0"/>
        <w:adjustRightInd w:val="0"/>
        <w:spacing w:after="12pt" w:line="18pt" w:lineRule="auto"/>
        <w:ind w:firstLine="28.35pt"/>
        <w:jc w:val="both"/>
        <w:rPr>
          <w:rFonts w:ascii="Times New Roman" w:hAnsi="Times New Roman" w:cs="Times New Roman"/>
          <w:bCs/>
          <w:lang w:val="es-PE"/>
        </w:rPr>
      </w:pPr>
    </w:p>
    <w:p w14:paraId="5E2B65C7" w14:textId="77777777" w:rsidR="0029731D" w:rsidRPr="00C0608D" w:rsidRDefault="0029731D" w:rsidP="0029731D">
      <w:pPr>
        <w:widowControl w:val="0"/>
        <w:autoSpaceDE w:val="0"/>
        <w:autoSpaceDN w:val="0"/>
        <w:adjustRightInd w:val="0"/>
        <w:spacing w:after="12pt" w:line="18pt" w:lineRule="auto"/>
        <w:ind w:firstLine="28.35pt"/>
        <w:jc w:val="both"/>
        <w:rPr>
          <w:rFonts w:ascii="Times New Roman" w:hAnsi="Times New Roman" w:cs="Times New Roman"/>
          <w:lang w:val="es-PE"/>
        </w:rPr>
      </w:pPr>
    </w:p>
    <w:sectPr w:rsidR="0029731D" w:rsidRPr="00C0608D" w:rsidSect="00E845CC">
      <w:headerReference w:type="even" r:id="rId13"/>
      <w:headerReference w:type="default" r:id="rId14"/>
      <w:footerReference w:type="even" r:id="rId15"/>
      <w:footerReference w:type="default" r:id="rId16"/>
      <w:headerReference w:type="first" r:id="rId17"/>
      <w:footerReference w:type="first" r:id="rId18"/>
      <w:pgSz w:w="595.30pt" w:h="841.90pt"/>
      <w:pgMar w:top="70.85pt" w:right="85.05pt" w:bottom="70.85pt" w:left="85.05pt" w:header="35.40pt" w:footer="35.40pt" w:gutter="0pt"/>
      <w:pgNumType w:start="153"/>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14:paraId="5E8234FB" w14:textId="77777777" w:rsidR="00535B3D" w:rsidRDefault="00535B3D" w:rsidP="009F0FFB">
      <w:r>
        <w:separator/>
      </w:r>
    </w:p>
  </w:endnote>
  <w:endnote w:type="continuationSeparator" w:id="0">
    <w:p w14:paraId="1EB6984C" w14:textId="77777777" w:rsidR="00535B3D" w:rsidRDefault="00535B3D" w:rsidP="009F0FFB">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Arial MT">
    <w:altName w:val="Arial"/>
    <w:family w:val="swiss"/>
    <w:pitch w:val="variable"/>
  </w:font>
  <w:font w:name="Arial">
    <w:panose1 w:val="020B0604020202020204"/>
    <w:charset w:characterSet="iso-8859-1"/>
    <w:family w:val="swiss"/>
    <w:pitch w:val="variable"/>
    <w:sig w:usb0="E0002EFF" w:usb1="C000785B" w:usb2="00000009" w:usb3="00000000" w:csb0="000001FF" w:csb1="00000000"/>
  </w:font>
  <w:font w:name="Noto Sans Symbols">
    <w:altName w:val="Times New Roman"/>
    <w:charset w:characterSet="iso-8859-1"/>
    <w:family w:val="auto"/>
    <w:pitch w:val="default"/>
  </w:font>
  <w:font w:name="Garamond">
    <w:panose1 w:val="02020404030301010803"/>
    <w:charset w:characterSet="iso-8859-1"/>
    <w:family w:val="roman"/>
    <w:pitch w:val="variable"/>
    <w:sig w:usb0="00000287" w:usb1="00000000" w:usb2="00000000" w:usb3="00000000" w:csb0="0000009F" w:csb1="00000000"/>
  </w:font>
  <w:font w:name="Segoe UI">
    <w:panose1 w:val="020B0502040204020203"/>
    <w:charset w:characterSet="iso-8859-1"/>
    <w:family w:val="swiss"/>
    <w:pitch w:val="variable"/>
    <w:sig w:usb0="E4002EFF" w:usb1="C000E47F" w:usb2="00000009" w:usb3="00000000" w:csb0="000001FF" w:csb1="00000000"/>
  </w:font>
  <w:font w:name="Consolas">
    <w:panose1 w:val="020B0609020204030204"/>
    <w:charset w:characterSet="iso-8859-1"/>
    <w:family w:val="modern"/>
    <w:pitch w:val="fixed"/>
    <w:sig w:usb0="E00006FF" w:usb1="0000FCFF" w:usb2="00000001" w:usb3="00000000" w:csb0="0000019F" w:csb1="00000000"/>
  </w:font>
  <w:font w:name="Helvetica">
    <w:panose1 w:val="020B0604020202020204"/>
    <w:charset w:characterSet="iso-8859-1"/>
    <w:family w:val="auto"/>
    <w:pitch w:val="variable"/>
    <w:sig w:usb0="E00002FF" w:usb1="5000785B" w:usb2="00000000" w:usb3="00000000" w:csb0="0000019F" w:csb1="00000000"/>
  </w:font>
  <w:font w:name="Arial Unicode MS">
    <w:panose1 w:val="020B0604020202020204"/>
    <w:charset w:characterSet="shift_jis"/>
    <w:family w:val="swiss"/>
    <w:pitch w:val="variable"/>
    <w:sig w:usb0="F7FFAFFF" w:usb1="E9DFFFFF" w:usb2="0000003F" w:usb3="00000000" w:csb0="003F01FF" w:csb1="00000000"/>
  </w:font>
  <w:font w:name="Cambria">
    <w:panose1 w:val="02040503050406030204"/>
    <w:charset w:characterSet="iso-8859-1"/>
    <w:family w:val="roman"/>
    <w:pitch w:val="variable"/>
    <w:sig w:usb0="E00006FF" w:usb1="420024FF" w:usb2="02000000" w:usb3="00000000" w:csb0="0000019F" w:csb1="00000000"/>
  </w:font>
  <w:font w:name="TimesNewRomanPSMT">
    <w:altName w:val="Times New Roman"/>
    <w:panose1 w:val="00000000000000000000"/>
    <w:charset w:characterSet="iso-8859-1"/>
    <w:family w:val="roman"/>
    <w:notTrueType/>
    <w:pitch w:val="default"/>
  </w:font>
  <w:font w:name="Calibri Light">
    <w:panose1 w:val="020F0302020204030204"/>
    <w:charset w:characterSet="iso-8859-1"/>
    <w:family w:val="swiss"/>
    <w:pitch w:val="variable"/>
    <w:sig w:usb0="E4002EFF" w:usb1="C0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MS Mincho">
    <w:altName w:val="ＭＳ 明朝"/>
    <w:panose1 w:val="02020609040205080304"/>
    <w:charset w:characterSet="shift_jis"/>
    <w:family w:val="modern"/>
    <w:pitch w:val="fixed"/>
    <w:sig w:usb0="E00002FF" w:usb1="6AC7FDFB" w:usb2="08000012" w:usb3="00000000" w:csb0="0002009F" w:csb1="00000000"/>
  </w:font>
  <w:font w:name="Century Gothic">
    <w:panose1 w:val="020B0502020202020204"/>
    <w:charset w:characterSet="iso-8859-1"/>
    <w:family w:val="swiss"/>
    <w:pitch w:val="variable"/>
    <w:sig w:usb0="00000287" w:usb1="00000000" w:usb2="00000000" w:usb3="00000000" w:csb0="000000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63E760F8" w14:textId="7B517B55" w:rsidR="00E845CC" w:rsidRDefault="00E845CC">
    <w:pPr>
      <w:pStyle w:val="Piedepgina"/>
    </w:pPr>
    <w:r w:rsidRPr="008110F0">
      <w:drawing>
        <wp:anchor distT="0" distB="0" distL="114300" distR="114300" simplePos="0" relativeHeight="251684864" behindDoc="0" locked="0" layoutInCell="1" allowOverlap="1" wp14:anchorId="064D5DDA" wp14:editId="5A62742B">
          <wp:simplePos x="0" y="0"/>
          <wp:positionH relativeFrom="column">
            <wp:posOffset>-634951</wp:posOffset>
          </wp:positionH>
          <wp:positionV relativeFrom="paragraph">
            <wp:posOffset>-27940</wp:posOffset>
          </wp:positionV>
          <wp:extent cx="2580005" cy="751205"/>
          <wp:effectExtent l="0" t="0" r="0" b="0"/>
          <wp:wrapNone/>
          <wp:docPr id="27" name="Cuadro de texto 27"/>
          <wp:cNvGraphicFramePr/>
          <a:graphic xmlns:a="http://purl.oclc.org/ooxml/drawingml/main">
            <a:graphicData uri="http://schemas.microsoft.com/office/word/2010/wordprocessingShape">
              <wp:wsp>
                <wp:cNvSpPr txBox="1"/>
                <wp:spPr>
                  <a:xfrm>
                    <a:off x="0" y="0"/>
                    <a:ext cx="2580005" cy="751205"/>
                  </a:xfrm>
                  <a:prstGeom prst="rect">
                    <a:avLst/>
                  </a:prstGeom>
                  <a:solidFill>
                    <a:schemeClr val="lt1"/>
                  </a:solidFill>
                  <a:ln w="6350">
                    <a:noFill/>
                  </a:ln>
                </wp:spPr>
                <wp:txbx>
                  <wne:txbxContent>
                    <w:p w14:paraId="132A55DA" w14:textId="77777777" w:rsidR="00E845CC" w:rsidRPr="00344838" w:rsidRDefault="00E845CC" w:rsidP="00344838">
                      <w:pPr>
                        <w:shd w:val="clear" w:color="auto" w:fill="FFFFFF"/>
                        <w:jc w:val="center"/>
                        <w:rPr>
                          <w:rFonts w:ascii="Times New Roman" w:hAnsi="Times New Roman" w:cs="Times New Roman"/>
                          <w:sz w:val="22"/>
                          <w:szCs w:val="22"/>
                        </w:rPr>
                      </w:pPr>
                      <w:r w:rsidRPr="00344838">
                        <w:rPr>
                          <w:rFonts w:ascii="Times New Roman" w:hAnsi="Times New Roman" w:cs="Times New Roman"/>
                          <w:sz w:val="22"/>
                          <w:szCs w:val="22"/>
                        </w:rPr>
                        <w:t>REVISTA HECHOS CONTABLES</w:t>
                      </w:r>
                    </w:p>
                    <w:p w14:paraId="5A2C34E1" w14:textId="77777777" w:rsidR="00E845CC" w:rsidRPr="00344838" w:rsidRDefault="00E845CC" w:rsidP="00344838">
                      <w:pPr>
                        <w:shd w:val="clear" w:color="auto" w:fill="FFFFFF"/>
                        <w:jc w:val="center"/>
                        <w:rPr>
                          <w:rFonts w:ascii="Times New Roman" w:hAnsi="Times New Roman" w:cs="Times New Roman"/>
                          <w:sz w:val="22"/>
                          <w:szCs w:val="22"/>
                        </w:rPr>
                      </w:pPr>
                      <w:r w:rsidRPr="00344838">
                        <w:rPr>
                          <w:rFonts w:ascii="Times New Roman" w:hAnsi="Times New Roman" w:cs="Times New Roman"/>
                          <w:sz w:val="22"/>
                          <w:szCs w:val="22"/>
                        </w:rPr>
                        <w:t>Revista de Investigación en Contabilidad.</w:t>
                      </w:r>
                    </w:p>
                    <w:p w14:paraId="234CF6AB" w14:textId="1E04774B" w:rsidR="00E845CC" w:rsidRDefault="00535B3D" w:rsidP="00344838">
                      <w:pPr>
                        <w:shd w:val="clear" w:color="auto" w:fill="FFFFFF"/>
                        <w:jc w:val="center"/>
                        <w:rPr>
                          <w:rFonts w:ascii="Times New Roman" w:hAnsi="Times New Roman" w:cs="Times New Roman"/>
                          <w:sz w:val="22"/>
                          <w:szCs w:val="22"/>
                        </w:rPr>
                      </w:pPr>
                      <w:hyperlink r:id="rId1" w:history="1">
                        <w:r w:rsidR="00E845CC" w:rsidRPr="00302F4E">
                          <w:rPr>
                            <w:rStyle w:val="Hipervnculo"/>
                            <w:rFonts w:ascii="Times New Roman" w:hAnsi="Times New Roman" w:cs="Times New Roman"/>
                            <w:sz w:val="22"/>
                            <w:szCs w:val="22"/>
                          </w:rPr>
                          <w:t>www.educas.com.pe</w:t>
                        </w:r>
                      </w:hyperlink>
                    </w:p>
                    <w:p w14:paraId="7EBDFE99" w14:textId="77777777" w:rsidR="00E845CC" w:rsidRPr="00344838" w:rsidRDefault="00E845CC" w:rsidP="00344838">
                      <w:pPr>
                        <w:shd w:val="clear" w:color="auto" w:fill="FFFFFF"/>
                        <w:jc w:val="center"/>
                        <w:rPr>
                          <w:rFonts w:ascii="Times New Roman" w:hAnsi="Times New Roman" w:cs="Times New Roman"/>
                          <w:sz w:val="22"/>
                          <w:szCs w:val="22"/>
                        </w:rPr>
                      </w:pPr>
                    </w:p>
                    <w:p w14:paraId="3F11255B" w14:textId="77777777" w:rsidR="00E845CC" w:rsidRPr="0058764C" w:rsidRDefault="00E845CC" w:rsidP="008110F0">
                      <w:pPr>
                        <w:shd w:val="clear" w:color="auto" w:fill="FFFFFF"/>
                        <w:jc w:val="center"/>
                        <w:rPr>
                          <w:rFonts w:ascii="Times New Roman" w:hAnsi="Times New Roman" w:cs="Times New Roman"/>
                          <w:sz w:val="22"/>
                          <w:szCs w:val="22"/>
                        </w:rPr>
                      </w:pP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a:graphicData>
          </a:graphic>
          <wp14:sizeRelH relativeFrom="margin">
            <wp14:pctWidth>0%</wp14:pctWidth>
          </wp14:sizeRelH>
        </wp:anchor>
      </w:drawing>
    </w:r>
    <w:r w:rsidRPr="008110F0">
      <w:drawing>
        <wp:anchor distT="0" distB="0" distL="114300" distR="114300" simplePos="0" relativeHeight="251683840" behindDoc="0" locked="0" layoutInCell="1" allowOverlap="1" wp14:anchorId="5CB46A5E" wp14:editId="6462A68E">
          <wp:simplePos x="0" y="0"/>
          <wp:positionH relativeFrom="column">
            <wp:posOffset>3791243</wp:posOffset>
          </wp:positionH>
          <wp:positionV relativeFrom="paragraph">
            <wp:posOffset>-27940</wp:posOffset>
          </wp:positionV>
          <wp:extent cx="1873885" cy="596900"/>
          <wp:effectExtent l="0" t="0" r="5715" b="0"/>
          <wp:wrapNone/>
          <wp:docPr id="26" name="Cuadro de texto 26"/>
          <wp:cNvGraphicFramePr/>
          <a:graphic xmlns:a="http://purl.oclc.org/ooxml/drawingml/main">
            <a:graphicData uri="http://schemas.microsoft.com/office/word/2010/wordprocessingShape">
              <wp:wsp>
                <wp:cNvSpPr txBox="1"/>
                <wp:spPr>
                  <a:xfrm>
                    <a:off x="0" y="0"/>
                    <a:ext cx="1873885" cy="596900"/>
                  </a:xfrm>
                  <a:prstGeom prst="rect">
                    <a:avLst/>
                  </a:prstGeom>
                  <a:solidFill>
                    <a:schemeClr val="lt1"/>
                  </a:solidFill>
                  <a:ln w="6350">
                    <a:noFill/>
                  </a:ln>
                </wp:spPr>
                <wp:txbx>
                  <wne:txbxContent>
                    <w:p w14:paraId="7A288D28" w14:textId="77777777" w:rsidR="008A1537" w:rsidRDefault="008A1537" w:rsidP="008A1537">
                      <w:pPr>
                        <w:jc w:val="center"/>
                        <w:rPr>
                          <w:rFonts w:ascii="Times New Roman" w:hAnsi="Times New Roman" w:cs="Times New Roman"/>
                          <w:sz w:val="22"/>
                          <w:szCs w:val="22"/>
                        </w:rPr>
                      </w:pPr>
                      <w:r w:rsidRPr="0058764C">
                        <w:rPr>
                          <w:rFonts w:ascii="Times New Roman" w:hAnsi="Times New Roman" w:cs="Times New Roman"/>
                          <w:sz w:val="22"/>
                          <w:szCs w:val="22"/>
                        </w:rPr>
                        <w:t xml:space="preserve">Vol. </w:t>
                      </w:r>
                      <w:r>
                        <w:rPr>
                          <w:rFonts w:ascii="Times New Roman" w:hAnsi="Times New Roman" w:cs="Times New Roman"/>
                          <w:sz w:val="22"/>
                          <w:szCs w:val="22"/>
                        </w:rPr>
                        <w:t>2</w:t>
                      </w:r>
                      <w:r w:rsidRPr="0058764C">
                        <w:rPr>
                          <w:rFonts w:ascii="Times New Roman" w:hAnsi="Times New Roman" w:cs="Times New Roman"/>
                          <w:sz w:val="22"/>
                          <w:szCs w:val="22"/>
                        </w:rPr>
                        <w:t xml:space="preserve"> No. </w:t>
                      </w:r>
                      <w:r>
                        <w:rPr>
                          <w:rFonts w:ascii="Times New Roman" w:hAnsi="Times New Roman" w:cs="Times New Roman"/>
                          <w:sz w:val="22"/>
                          <w:szCs w:val="22"/>
                        </w:rPr>
                        <w:t>2, pp 153 - 171</w:t>
                      </w:r>
                    </w:p>
                    <w:p w14:paraId="2A11AD48" w14:textId="6EF7A461" w:rsidR="00E845CC" w:rsidRPr="0058764C" w:rsidRDefault="00E845CC" w:rsidP="00291B7B">
                      <w:pPr>
                        <w:jc w:val="center"/>
                        <w:rPr>
                          <w:rFonts w:ascii="Times New Roman" w:hAnsi="Times New Roman" w:cs="Times New Roman"/>
                          <w:sz w:val="22"/>
                          <w:szCs w:val="22"/>
                        </w:rPr>
                      </w:pPr>
                      <w:r>
                        <w:rPr>
                          <w:rFonts w:ascii="Times New Roman" w:hAnsi="Times New Roman" w:cs="Times New Roman"/>
                          <w:sz w:val="22"/>
                          <w:szCs w:val="22"/>
                        </w:rPr>
                        <w:t>Junio - Diciembre</w:t>
                      </w:r>
                      <w:r w:rsidRPr="0058764C">
                        <w:rPr>
                          <w:rFonts w:ascii="Times New Roman" w:hAnsi="Times New Roman" w:cs="Times New Roman"/>
                          <w:sz w:val="22"/>
                          <w:szCs w:val="22"/>
                        </w:rPr>
                        <w:t xml:space="preserve"> 202</w:t>
                      </w:r>
                      <w:r>
                        <w:rPr>
                          <w:rFonts w:ascii="Times New Roman" w:hAnsi="Times New Roman" w:cs="Times New Roman"/>
                          <w:sz w:val="22"/>
                          <w:szCs w:val="22"/>
                        </w:rPr>
                        <w:t>2</w:t>
                      </w:r>
                    </w:p>
                    <w:p w14:paraId="0CFD188A" w14:textId="77777777" w:rsidR="00E845CC" w:rsidRPr="0058764C" w:rsidRDefault="00E845CC" w:rsidP="00D02084">
                      <w:pPr>
                        <w:jc w:val="center"/>
                        <w:rPr>
                          <w:rFonts w:ascii="Times New Roman" w:hAnsi="Times New Roman" w:cs="Times New Roman"/>
                          <w:sz w:val="22"/>
                          <w:szCs w:val="22"/>
                        </w:rPr>
                      </w:pPr>
                      <w:r w:rsidRPr="0058764C">
                        <w:rPr>
                          <w:rFonts w:ascii="Times New Roman" w:hAnsi="Times New Roman" w:cs="Times New Roman"/>
                          <w:sz w:val="22"/>
                          <w:szCs w:val="22"/>
                        </w:rPr>
                        <w:t xml:space="preserve">ISSN: </w:t>
                      </w:r>
                      <w:r w:rsidRPr="00DE2494">
                        <w:rPr>
                          <w:rFonts w:ascii="Times New Roman" w:hAnsi="Times New Roman" w:cs="Times New Roman"/>
                          <w:sz w:val="22"/>
                          <w:szCs w:val="22"/>
                        </w:rPr>
                        <w:t>2810-8388</w:t>
                      </w:r>
                    </w:p>
                    <w:p w14:paraId="64A31410" w14:textId="77777777" w:rsidR="00E845CC" w:rsidRPr="0058764C" w:rsidRDefault="00E845CC" w:rsidP="00D02084">
                      <w:pPr>
                        <w:jc w:val="center"/>
                        <w:rPr>
                          <w:rFonts w:ascii="Times New Roman" w:hAnsi="Times New Roman" w:cs="Times New Roman"/>
                          <w:sz w:val="22"/>
                          <w:szCs w:val="22"/>
                        </w:rPr>
                      </w:pPr>
                    </w:p>
                    <w:p w14:paraId="05F1C703" w14:textId="47259019" w:rsidR="00E845CC" w:rsidRPr="0058764C" w:rsidRDefault="00E845CC" w:rsidP="000B696B">
                      <w:pPr>
                        <w:jc w:val="center"/>
                        <w:rPr>
                          <w:rFonts w:ascii="Times New Roman" w:hAnsi="Times New Roman" w:cs="Times New Roman"/>
                          <w:sz w:val="22"/>
                          <w:szCs w:val="22"/>
                        </w:rPr>
                      </w:pP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a:graphicData>
          </a:graphic>
          <wp14:sizeRelV relativeFrom="margin">
            <wp14:pctHeight>0%</wp14:pctHeight>
          </wp14:sizeRelV>
        </wp:anchor>
      </w:drawing>
    </w:r>
    <w:r w:rsidRPr="008110F0">
      <w:drawing>
        <wp:anchor distT="0" distB="0" distL="114300" distR="114300" simplePos="0" relativeHeight="251685888" behindDoc="0" locked="0" layoutInCell="1" allowOverlap="1" wp14:anchorId="2A671E5F" wp14:editId="377153A9">
          <wp:simplePos x="0" y="0"/>
          <wp:positionH relativeFrom="margin">
            <wp:posOffset>-828675</wp:posOffset>
          </wp:positionH>
          <wp:positionV relativeFrom="paragraph">
            <wp:posOffset>-45769</wp:posOffset>
          </wp:positionV>
          <wp:extent cx="6907530" cy="0"/>
          <wp:effectExtent l="0" t="12700" r="26670" b="25400"/>
          <wp:wrapNone/>
          <wp:docPr id="28" name="Conector recto 28"/>
          <wp:cNvGraphicFramePr/>
          <a:graphic xmlns:a="http://purl.oclc.org/ooxml/drawingml/main">
            <a:graphicData uri="http://schemas.microsoft.com/office/word/2010/wordprocessingShape">
              <wp:wsp>
                <wp:cNvCnPr/>
                <wp:spPr>
                  <a:xfrm>
                    <a:off x="0" y="0"/>
                    <a:ext cx="6907530" cy="0"/>
                  </a:xfrm>
                  <a:prstGeom prst="line">
                    <a:avLst/>
                  </a:prstGeom>
                  <a:ln w="38100">
                    <a:solidFill>
                      <a:srgbClr val="219AF0"/>
                    </a:solidFill>
                  </a:ln>
                </wp:spPr>
                <wp:style>
                  <a:lnRef idx="1">
                    <a:schemeClr val="accent1"/>
                  </a:lnRef>
                  <a:fillRef idx="0">
                    <a:schemeClr val="accent1"/>
                  </a:fillRef>
                  <a:effectRef idx="0">
                    <a:schemeClr val="accent1"/>
                  </a:effectRef>
                  <a:fontRef idx="minor">
                    <a:schemeClr val="tx1"/>
                  </a:fontRef>
                </wp:style>
                <wp:bodyPr/>
              </wp:wsp>
            </a:graphicData>
          </a:graphic>
        </wp:anchor>
      </w:drawing>
    </w:r>
    <w:r w:rsidRPr="008110F0">
      <w:drawing>
        <wp:anchor distT="0" distB="0" distL="114300" distR="114300" simplePos="0" relativeHeight="251686912" behindDoc="0" locked="0" layoutInCell="1" allowOverlap="1" wp14:anchorId="4765F976" wp14:editId="318A216F">
          <wp:simplePos x="0" y="0"/>
          <wp:positionH relativeFrom="margin">
            <wp:align>center</wp:align>
          </wp:positionH>
          <wp:positionV relativeFrom="page">
            <wp:posOffset>9693715</wp:posOffset>
          </wp:positionV>
          <wp:extent cx="1005840" cy="1005840"/>
          <wp:effectExtent l="0" t="0" r="0" b="0"/>
          <wp:wrapNone/>
          <wp:docPr id="29" name="Grupo 29"/>
          <wp:cNvGraphicFramePr/>
          <a:graphic xmlns:a="http://purl.oclc.org/ooxml/drawingml/main">
            <a:graphicData uri="http://schemas.microsoft.com/office/word/2010/wordprocessingGroup">
              <wp:wgp>
                <wp:cNvGrpSpPr>
                  <a:extLst>
                    <a:ext uri="{F59B8463-F414-42e2-B3A4-FFEF48DC7170}">
                      <a15:nonVisualGroupProps xmlns:a15="http://schemas.microsoft.com/office/drawing/2012/main" isLegacyGroup="0"/>
                    </a:ext>
                  </a:extLst>
                </wp:cNvGrpSpPr>
                <wp:grpSpPr>
                  <a:xfrm>
                    <a:off x="0" y="0"/>
                    <a:ext cx="1005840" cy="1005840"/>
                    <a:chOff x="0" y="0"/>
                    <a:chExt cx="1005840" cy="1005840"/>
                  </a:xfrm>
                </wp:grpSpPr>
                <wp:wsp>
                  <wp:cNvPr id="2" name="Rectángulo 30"/>
                  <wp:cNvSpPr/>
                  <wp:spPr>
                    <a:xfrm>
                      <a:off x="0" y="0"/>
                      <a:ext cx="1005840" cy="1005840"/>
                    </a:xfrm>
                    <a:prstGeom prst="rect">
                      <a:avLst/>
                    </a:prstGeom>
                    <a:noFill/>
                    <a:ln>
                      <a:no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31" name="Forma libre 5"/>
                  <wp:cNvSpPr>
                    <a:spLocks/>
                  </wp:cNvSpPr>
                  <wp:spPr bwMode="auto">
                    <a:xfrm>
                      <a:off x="104775" y="104775"/>
                      <a:ext cx="787400" cy="787400"/>
                    </a:xfrm>
                    <a:custGeom>
                      <a:avLst/>
                      <a:gdLst>
                        <a:gd name="T0" fmla="*/ 240 w 240"/>
                        <a:gd name="T1" fmla="*/ 120 h 240"/>
                        <a:gd name="T2" fmla="*/ 230 w 240"/>
                        <a:gd name="T3" fmla="*/ 142 h 240"/>
                        <a:gd name="T4" fmla="*/ 230 w 240"/>
                        <a:gd name="T5" fmla="*/ 166 h 240"/>
                        <a:gd name="T6" fmla="*/ 214 w 240"/>
                        <a:gd name="T7" fmla="*/ 183 h 240"/>
                        <a:gd name="T8" fmla="*/ 204 w 240"/>
                        <a:gd name="T9" fmla="*/ 205 h 240"/>
                        <a:gd name="T10" fmla="*/ 182 w 240"/>
                        <a:gd name="T11" fmla="*/ 214 h 240"/>
                        <a:gd name="T12" fmla="*/ 165 w 240"/>
                        <a:gd name="T13" fmla="*/ 231 h 240"/>
                        <a:gd name="T14" fmla="*/ 142 w 240"/>
                        <a:gd name="T15" fmla="*/ 231 h 240"/>
                        <a:gd name="T16" fmla="*/ 120 w 240"/>
                        <a:gd name="T17" fmla="*/ 240 h 240"/>
                        <a:gd name="T18" fmla="*/ 97 w 240"/>
                        <a:gd name="T19" fmla="*/ 231 h 240"/>
                        <a:gd name="T20" fmla="*/ 74 w 240"/>
                        <a:gd name="T21" fmla="*/ 231 h 240"/>
                        <a:gd name="T22" fmla="*/ 57 w 240"/>
                        <a:gd name="T23" fmla="*/ 214 h 240"/>
                        <a:gd name="T24" fmla="*/ 35 w 240"/>
                        <a:gd name="T25" fmla="*/ 205 h 240"/>
                        <a:gd name="T26" fmla="*/ 26 w 240"/>
                        <a:gd name="T27" fmla="*/ 183 h 240"/>
                        <a:gd name="T28" fmla="*/ 9 w 240"/>
                        <a:gd name="T29" fmla="*/ 166 h 240"/>
                        <a:gd name="T30" fmla="*/ 9 w 240"/>
                        <a:gd name="T31" fmla="*/ 142 h 240"/>
                        <a:gd name="T32" fmla="*/ 0 w 240"/>
                        <a:gd name="T33" fmla="*/ 120 h 240"/>
                        <a:gd name="T34" fmla="*/ 9 w 240"/>
                        <a:gd name="T35" fmla="*/ 98 h 240"/>
                        <a:gd name="T36" fmla="*/ 9 w 240"/>
                        <a:gd name="T37" fmla="*/ 74 h 240"/>
                        <a:gd name="T38" fmla="*/ 26 w 240"/>
                        <a:gd name="T39" fmla="*/ 57 h 240"/>
                        <a:gd name="T40" fmla="*/ 35 w 240"/>
                        <a:gd name="T41" fmla="*/ 35 h 240"/>
                        <a:gd name="T42" fmla="*/ 57 w 240"/>
                        <a:gd name="T43" fmla="*/ 26 h 240"/>
                        <a:gd name="T44" fmla="*/ 74 w 240"/>
                        <a:gd name="T45" fmla="*/ 9 h 240"/>
                        <a:gd name="T46" fmla="*/ 97 w 240"/>
                        <a:gd name="T47" fmla="*/ 9 h 240"/>
                        <a:gd name="T48" fmla="*/ 120 w 240"/>
                        <a:gd name="T49" fmla="*/ 0 h 240"/>
                        <a:gd name="T50" fmla="*/ 142 w 240"/>
                        <a:gd name="T51" fmla="*/ 9 h 240"/>
                        <a:gd name="T52" fmla="*/ 165 w 240"/>
                        <a:gd name="T53" fmla="*/ 9 h 240"/>
                        <a:gd name="T54" fmla="*/ 182 w 240"/>
                        <a:gd name="T55" fmla="*/ 26 h 240"/>
                        <a:gd name="T56" fmla="*/ 204 w 240"/>
                        <a:gd name="T57" fmla="*/ 35 h 240"/>
                        <a:gd name="T58" fmla="*/ 214 w 240"/>
                        <a:gd name="T59" fmla="*/ 57 h 240"/>
                        <a:gd name="T60" fmla="*/ 230 w 240"/>
                        <a:gd name="T61" fmla="*/ 74 h 240"/>
                        <a:gd name="T62" fmla="*/ 230 w 240"/>
                        <a:gd name="T63" fmla="*/ 98 h 240"/>
                        <a:gd name="T64" fmla="*/ 240 w 240"/>
                        <a:gd name="T65" fmla="*/ 12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0" h="240">
                          <a:moveTo>
                            <a:pt x="240" y="120"/>
                          </a:moveTo>
                          <a:cubicBezTo>
                            <a:pt x="240" y="128"/>
                            <a:pt x="232" y="135"/>
                            <a:pt x="230" y="142"/>
                          </a:cubicBezTo>
                          <a:cubicBezTo>
                            <a:pt x="229" y="150"/>
                            <a:pt x="233" y="159"/>
                            <a:pt x="230" y="166"/>
                          </a:cubicBezTo>
                          <a:cubicBezTo>
                            <a:pt x="227" y="173"/>
                            <a:pt x="218" y="176"/>
                            <a:pt x="214" y="183"/>
                          </a:cubicBezTo>
                          <a:cubicBezTo>
                            <a:pt x="209" y="189"/>
                            <a:pt x="210" y="199"/>
                            <a:pt x="204" y="205"/>
                          </a:cubicBezTo>
                          <a:cubicBezTo>
                            <a:pt x="199" y="210"/>
                            <a:pt x="189" y="210"/>
                            <a:pt x="182" y="214"/>
                          </a:cubicBezTo>
                          <a:cubicBezTo>
                            <a:pt x="176" y="218"/>
                            <a:pt x="173" y="228"/>
                            <a:pt x="165" y="231"/>
                          </a:cubicBezTo>
                          <a:cubicBezTo>
                            <a:pt x="159" y="234"/>
                            <a:pt x="149" y="229"/>
                            <a:pt x="142" y="231"/>
                          </a:cubicBezTo>
                          <a:cubicBezTo>
                            <a:pt x="134" y="232"/>
                            <a:pt x="127" y="240"/>
                            <a:pt x="120" y="240"/>
                          </a:cubicBezTo>
                          <a:cubicBezTo>
                            <a:pt x="112" y="240"/>
                            <a:pt x="105" y="232"/>
                            <a:pt x="97" y="231"/>
                          </a:cubicBezTo>
                          <a:cubicBezTo>
                            <a:pt x="90" y="229"/>
                            <a:pt x="81" y="234"/>
                            <a:pt x="74" y="231"/>
                          </a:cubicBezTo>
                          <a:cubicBezTo>
                            <a:pt x="67" y="228"/>
                            <a:pt x="63" y="218"/>
                            <a:pt x="57" y="214"/>
                          </a:cubicBezTo>
                          <a:cubicBezTo>
                            <a:pt x="50" y="210"/>
                            <a:pt x="40" y="210"/>
                            <a:pt x="35" y="205"/>
                          </a:cubicBezTo>
                          <a:cubicBezTo>
                            <a:pt x="29" y="199"/>
                            <a:pt x="30" y="189"/>
                            <a:pt x="26" y="183"/>
                          </a:cubicBezTo>
                          <a:cubicBezTo>
                            <a:pt x="21" y="176"/>
                            <a:pt x="12" y="173"/>
                            <a:pt x="9" y="166"/>
                          </a:cubicBezTo>
                          <a:cubicBezTo>
                            <a:pt x="6" y="159"/>
                            <a:pt x="10" y="150"/>
                            <a:pt x="9" y="142"/>
                          </a:cubicBezTo>
                          <a:cubicBezTo>
                            <a:pt x="7" y="135"/>
                            <a:pt x="0" y="128"/>
                            <a:pt x="0" y="120"/>
                          </a:cubicBezTo>
                          <a:cubicBezTo>
                            <a:pt x="0" y="112"/>
                            <a:pt x="7" y="105"/>
                            <a:pt x="9" y="98"/>
                          </a:cubicBezTo>
                          <a:cubicBezTo>
                            <a:pt x="10" y="90"/>
                            <a:pt x="6" y="81"/>
                            <a:pt x="9" y="74"/>
                          </a:cubicBezTo>
                          <a:cubicBezTo>
                            <a:pt x="12" y="67"/>
                            <a:pt x="21" y="64"/>
                            <a:pt x="26" y="57"/>
                          </a:cubicBezTo>
                          <a:cubicBezTo>
                            <a:pt x="30" y="51"/>
                            <a:pt x="29" y="41"/>
                            <a:pt x="35" y="35"/>
                          </a:cubicBezTo>
                          <a:cubicBezTo>
                            <a:pt x="40" y="30"/>
                            <a:pt x="50" y="30"/>
                            <a:pt x="57" y="26"/>
                          </a:cubicBezTo>
                          <a:cubicBezTo>
                            <a:pt x="63" y="22"/>
                            <a:pt x="67" y="12"/>
                            <a:pt x="74" y="9"/>
                          </a:cubicBezTo>
                          <a:cubicBezTo>
                            <a:pt x="81" y="6"/>
                            <a:pt x="90" y="11"/>
                            <a:pt x="97" y="9"/>
                          </a:cubicBezTo>
                          <a:cubicBezTo>
                            <a:pt x="105" y="8"/>
                            <a:pt x="112" y="0"/>
                            <a:pt x="120" y="0"/>
                          </a:cubicBezTo>
                          <a:cubicBezTo>
                            <a:pt x="127" y="0"/>
                            <a:pt x="134" y="8"/>
                            <a:pt x="142" y="9"/>
                          </a:cubicBezTo>
                          <a:cubicBezTo>
                            <a:pt x="149" y="11"/>
                            <a:pt x="159" y="6"/>
                            <a:pt x="165" y="9"/>
                          </a:cubicBezTo>
                          <a:cubicBezTo>
                            <a:pt x="173" y="12"/>
                            <a:pt x="176" y="22"/>
                            <a:pt x="182" y="26"/>
                          </a:cubicBezTo>
                          <a:cubicBezTo>
                            <a:pt x="189" y="30"/>
                            <a:pt x="199" y="30"/>
                            <a:pt x="204" y="35"/>
                          </a:cubicBezTo>
                          <a:cubicBezTo>
                            <a:pt x="210" y="41"/>
                            <a:pt x="209" y="51"/>
                            <a:pt x="214" y="57"/>
                          </a:cubicBezTo>
                          <a:cubicBezTo>
                            <a:pt x="218" y="64"/>
                            <a:pt x="227" y="67"/>
                            <a:pt x="230" y="74"/>
                          </a:cubicBezTo>
                          <a:cubicBezTo>
                            <a:pt x="233" y="81"/>
                            <a:pt x="229" y="90"/>
                            <a:pt x="230" y="98"/>
                          </a:cubicBezTo>
                          <a:cubicBezTo>
                            <a:pt x="232" y="105"/>
                            <a:pt x="240" y="112"/>
                            <a:pt x="240" y="120"/>
                          </a:cubicBezTo>
                          <a:close/>
                        </a:path>
                      </a:pathLst>
                    </a:custGeom>
                    <a:solidFill>
                      <a:srgbClr val="219AF0"/>
                    </a:solidFill>
                    <a:ln>
                      <a:noFill/>
                    </a:ln>
                  </wp:spPr>
                  <wp:txbx>
                    <wne:txbxContent>
                      <w:p w14:paraId="282037B2" w14:textId="77777777" w:rsidR="00E845CC" w:rsidRDefault="00E845CC" w:rsidP="008110F0">
                        <w:pPr>
                          <w:jc w:val="center"/>
                          <w:rPr>
                            <w:b/>
                            <w:color w:val="E7E6E6" w:themeColor="background2"/>
                            <w:spacing w:val="20"/>
                            <w:sz w:val="36"/>
                            <w:szCs w:val="36"/>
                          </w:rPr>
                        </w:pPr>
                        <w:r>
                          <w:rPr>
                            <w:b/>
                            <w:noProof w:val="0"/>
                            <w:color w:val="E7E6E6" w:themeColor="background2"/>
                            <w:spacing w:val="20"/>
                            <w:sz w:val="36"/>
                            <w:szCs w:val="36"/>
                          </w:rPr>
                          <w:fldChar w:fldCharType="begin"/>
                        </w:r>
                        <w:r>
                          <w:rPr>
                            <w:b/>
                            <w:color w:val="E7E6E6" w:themeColor="background2"/>
                            <w:spacing w:val="20"/>
                            <w:sz w:val="36"/>
                            <w:szCs w:val="36"/>
                          </w:rPr>
                          <w:instrText xml:space="preserve"> PAGE   \* MERGEFORMAT </w:instrText>
                        </w:r>
                        <w:r>
                          <w:rPr>
                            <w:b/>
                            <w:noProof w:val="0"/>
                            <w:color w:val="E7E6E6" w:themeColor="background2"/>
                            <w:spacing w:val="20"/>
                            <w:sz w:val="36"/>
                            <w:szCs w:val="36"/>
                          </w:rPr>
                          <w:fldChar w:fldCharType="separate"/>
                        </w:r>
                        <w:r>
                          <w:rPr>
                            <w:b/>
                            <w:color w:val="E7E6E6" w:themeColor="background2"/>
                            <w:spacing w:val="20"/>
                            <w:sz w:val="36"/>
                            <w:szCs w:val="36"/>
                          </w:rPr>
                          <w:t>2</w:t>
                        </w:r>
                        <w:r>
                          <w:rPr>
                            <w:b/>
                            <w:color w:val="E7E6E6" w:themeColor="background2"/>
                            <w:spacing w:val="20"/>
                            <w:sz w:val="36"/>
                            <w:szCs w:val="36"/>
                          </w:rPr>
                          <w:fldChar w:fldCharType="end"/>
                        </w:r>
                      </w:p>
                    </wne:txbxContent>
                  </wp:txbx>
                  <wp:bodyPr vert="horz" wrap="square" lIns="91440" tIns="45720" rIns="91440" bIns="45720" numCol="1" anchor="ctr" anchorCtr="0" compatLnSpc="1">
                    <a:prstTxWarp prst="textNoShape">
                      <a:avLst/>
                    </a:prstTxWarp>
                  </wp:bodyPr>
                </wp:wsp>
              </wp:wgp>
            </a:graphicData>
          </a:graphic>
        </wp:anchor>
      </w:drawing>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744E6829" w14:textId="44C4F47E" w:rsidR="00E845CC" w:rsidRDefault="00E845CC">
    <w:pPr>
      <w:pStyle w:val="Piedepgina"/>
    </w:pPr>
    <w:r w:rsidRPr="0058764C">
      <w:drawing>
        <wp:anchor distT="0" distB="0" distL="114300" distR="114300" simplePos="0" relativeHeight="251668480" behindDoc="0" locked="0" layoutInCell="1" allowOverlap="1" wp14:anchorId="4D98F167" wp14:editId="089A16A7">
          <wp:simplePos x="0" y="0"/>
          <wp:positionH relativeFrom="column">
            <wp:posOffset>-614387</wp:posOffset>
          </wp:positionH>
          <wp:positionV relativeFrom="paragraph">
            <wp:posOffset>153670</wp:posOffset>
          </wp:positionV>
          <wp:extent cx="2580005" cy="751205"/>
          <wp:effectExtent l="0" t="0" r="0" b="0"/>
          <wp:wrapNone/>
          <wp:docPr id="9" name="Cuadro de texto 9"/>
          <wp:cNvGraphicFramePr/>
          <a:graphic xmlns:a="http://purl.oclc.org/ooxml/drawingml/main">
            <a:graphicData uri="http://schemas.microsoft.com/office/word/2010/wordprocessingShape">
              <wp:wsp>
                <wp:cNvSpPr txBox="1"/>
                <wp:spPr>
                  <a:xfrm>
                    <a:off x="0" y="0"/>
                    <a:ext cx="2580005" cy="751205"/>
                  </a:xfrm>
                  <a:prstGeom prst="rect">
                    <a:avLst/>
                  </a:prstGeom>
                  <a:solidFill>
                    <a:schemeClr val="lt1"/>
                  </a:solidFill>
                  <a:ln w="6350">
                    <a:noFill/>
                  </a:ln>
                </wp:spPr>
                <wp:txbx>
                  <wne:txbxContent>
                    <w:p w14:paraId="70BD638A" w14:textId="77777777" w:rsidR="00E845CC" w:rsidRPr="003E430B" w:rsidRDefault="00E845CC" w:rsidP="00B75EE6">
                      <w:pPr>
                        <w:pStyle w:val="NormalWeb"/>
                        <w:shd w:val="clear" w:color="auto" w:fill="FFFFFF"/>
                        <w:jc w:val="center"/>
                        <w:rPr>
                          <w:sz w:val="22"/>
                          <w:szCs w:val="22"/>
                        </w:rPr>
                      </w:pPr>
                      <w:r>
                        <w:rPr>
                          <w:sz w:val="22"/>
                          <w:szCs w:val="22"/>
                        </w:rPr>
                        <w:t>REVISTA HECHOS CONTABLES</w:t>
                      </w:r>
                      <w:r>
                        <w:rPr>
                          <w:sz w:val="22"/>
                          <w:szCs w:val="22"/>
                        </w:rPr>
                        <w:br/>
                      </w:r>
                      <w:r w:rsidRPr="0058764C">
                        <w:rPr>
                          <w:sz w:val="22"/>
                          <w:szCs w:val="22"/>
                        </w:rPr>
                        <w:t xml:space="preserve">Revista de </w:t>
                      </w:r>
                      <w:proofErr w:type="spellStart"/>
                      <w:r w:rsidRPr="0058764C">
                        <w:rPr>
                          <w:sz w:val="22"/>
                          <w:szCs w:val="22"/>
                        </w:rPr>
                        <w:t>Investigación</w:t>
                      </w:r>
                      <w:proofErr w:type="spellEnd"/>
                      <w:r w:rsidRPr="0058764C">
                        <w:rPr>
                          <w:sz w:val="22"/>
                          <w:szCs w:val="22"/>
                        </w:rPr>
                        <w:t xml:space="preserve"> en </w:t>
                      </w:r>
                      <w:r>
                        <w:rPr>
                          <w:sz w:val="22"/>
                          <w:szCs w:val="22"/>
                        </w:rPr>
                        <w:t>Contabilidad.</w:t>
                      </w:r>
                      <w:r>
                        <w:rPr>
                          <w:sz w:val="22"/>
                          <w:szCs w:val="22"/>
                        </w:rPr>
                        <w:br/>
                      </w:r>
                      <w:hyperlink r:id="rId1" w:history="1">
                        <w:r w:rsidRPr="0058764C">
                          <w:rPr>
                            <w:rStyle w:val="Hipervnculo"/>
                            <w:rFonts w:ascii="TimesNewRomanPSMT" w:hAnsi="TimesNewRomanPSMT"/>
                            <w:sz w:val="22"/>
                            <w:szCs w:val="22"/>
                          </w:rPr>
                          <w:t>www.educas.com.pe</w:t>
                        </w:r>
                      </w:hyperlink>
                    </w:p>
                    <w:p w14:paraId="2CA0A2CA" w14:textId="77777777" w:rsidR="00E845CC" w:rsidRPr="0058764C" w:rsidRDefault="00E845CC" w:rsidP="00B75EE6">
                      <w:pPr>
                        <w:pStyle w:val="NormalWeb"/>
                        <w:shd w:val="clear" w:color="auto" w:fill="FFFFFF"/>
                        <w:rPr>
                          <w:sz w:val="22"/>
                          <w:szCs w:val="22"/>
                        </w:rPr>
                      </w:pPr>
                    </w:p>
                    <w:p w14:paraId="51CA7703" w14:textId="1951C348" w:rsidR="00E845CC" w:rsidRPr="008110F0" w:rsidRDefault="00E845CC" w:rsidP="008110F0">
                      <w:pPr>
                        <w:pStyle w:val="NormalWeb"/>
                        <w:shd w:val="clear" w:color="auto" w:fill="FFFFFF"/>
                        <w:jc w:val="center"/>
                      </w:pP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a:graphicData>
          </a:graphic>
          <wp14:sizeRelH relativeFrom="margin">
            <wp14:pctWidth>0%</wp14:pctWidth>
          </wp14:sizeRelH>
        </wp:anchor>
      </w:drawing>
    </w:r>
    <w:r w:rsidRPr="0058764C">
      <w:drawing>
        <wp:anchor distT="0" distB="0" distL="114300" distR="114300" simplePos="0" relativeHeight="251667456" behindDoc="0" locked="0" layoutInCell="1" allowOverlap="1" wp14:anchorId="7CEEF6F0" wp14:editId="19921C17">
          <wp:simplePos x="0" y="0"/>
          <wp:positionH relativeFrom="column">
            <wp:posOffset>3803650</wp:posOffset>
          </wp:positionH>
          <wp:positionV relativeFrom="paragraph">
            <wp:posOffset>153035</wp:posOffset>
          </wp:positionV>
          <wp:extent cx="1873885" cy="597528"/>
          <wp:effectExtent l="0" t="0" r="5715" b="0"/>
          <wp:wrapNone/>
          <wp:docPr id="3" name="Cuadro de texto 3"/>
          <wp:cNvGraphicFramePr/>
          <a:graphic xmlns:a="http://purl.oclc.org/ooxml/drawingml/main">
            <a:graphicData uri="http://schemas.microsoft.com/office/word/2010/wordprocessingShape">
              <wp:wsp>
                <wp:cNvSpPr txBox="1"/>
                <wp:spPr>
                  <a:xfrm>
                    <a:off x="0" y="0"/>
                    <a:ext cx="1873885" cy="597528"/>
                  </a:xfrm>
                  <a:prstGeom prst="rect">
                    <a:avLst/>
                  </a:prstGeom>
                  <a:solidFill>
                    <a:schemeClr val="lt1"/>
                  </a:solidFill>
                  <a:ln w="6350">
                    <a:noFill/>
                  </a:ln>
                </wp:spPr>
                <wp:txbx>
                  <wne:txbxContent>
                    <w:p w14:paraId="577C803F" w14:textId="78FA327C" w:rsidR="00E845CC" w:rsidRDefault="00E845CC" w:rsidP="00E846BA">
                      <w:pPr>
                        <w:jc w:val="center"/>
                        <w:rPr>
                          <w:rFonts w:ascii="Times New Roman" w:hAnsi="Times New Roman" w:cs="Times New Roman"/>
                          <w:sz w:val="22"/>
                          <w:szCs w:val="22"/>
                        </w:rPr>
                      </w:pPr>
                      <w:r w:rsidRPr="0058764C">
                        <w:rPr>
                          <w:rFonts w:ascii="Times New Roman" w:hAnsi="Times New Roman" w:cs="Times New Roman"/>
                          <w:sz w:val="22"/>
                          <w:szCs w:val="22"/>
                        </w:rPr>
                        <w:t xml:space="preserve">Vol. </w:t>
                      </w:r>
                      <w:r>
                        <w:rPr>
                          <w:rFonts w:ascii="Times New Roman" w:hAnsi="Times New Roman" w:cs="Times New Roman"/>
                          <w:sz w:val="22"/>
                          <w:szCs w:val="22"/>
                        </w:rPr>
                        <w:t>2</w:t>
                      </w:r>
                      <w:r w:rsidRPr="0058764C">
                        <w:rPr>
                          <w:rFonts w:ascii="Times New Roman" w:hAnsi="Times New Roman" w:cs="Times New Roman"/>
                          <w:sz w:val="22"/>
                          <w:szCs w:val="22"/>
                        </w:rPr>
                        <w:t xml:space="preserve"> No. </w:t>
                      </w:r>
                      <w:r>
                        <w:rPr>
                          <w:rFonts w:ascii="Times New Roman" w:hAnsi="Times New Roman" w:cs="Times New Roman"/>
                          <w:sz w:val="22"/>
                          <w:szCs w:val="22"/>
                        </w:rPr>
                        <w:t>2, pp 1</w:t>
                      </w:r>
                      <w:r w:rsidR="008A1537">
                        <w:rPr>
                          <w:rFonts w:ascii="Times New Roman" w:hAnsi="Times New Roman" w:cs="Times New Roman"/>
                          <w:sz w:val="22"/>
                          <w:szCs w:val="22"/>
                        </w:rPr>
                        <w:t>53 - 171</w:t>
                      </w:r>
                    </w:p>
                    <w:p w14:paraId="727702AA" w14:textId="1D0B80B0" w:rsidR="00E845CC" w:rsidRPr="0058764C" w:rsidRDefault="00E845CC" w:rsidP="002C3C7D">
                      <w:pPr>
                        <w:jc w:val="center"/>
                        <w:rPr>
                          <w:rFonts w:ascii="Times New Roman" w:hAnsi="Times New Roman" w:cs="Times New Roman"/>
                          <w:sz w:val="22"/>
                          <w:szCs w:val="22"/>
                        </w:rPr>
                      </w:pPr>
                      <w:r>
                        <w:rPr>
                          <w:rFonts w:ascii="Times New Roman" w:hAnsi="Times New Roman" w:cs="Times New Roman"/>
                          <w:sz w:val="22"/>
                          <w:szCs w:val="22"/>
                        </w:rPr>
                        <w:t>Junio - Diciembre</w:t>
                      </w:r>
                      <w:r w:rsidRPr="0058764C">
                        <w:rPr>
                          <w:rFonts w:ascii="Times New Roman" w:hAnsi="Times New Roman" w:cs="Times New Roman"/>
                          <w:sz w:val="22"/>
                          <w:szCs w:val="22"/>
                        </w:rPr>
                        <w:t xml:space="preserve"> 202</w:t>
                      </w:r>
                      <w:r>
                        <w:rPr>
                          <w:rFonts w:ascii="Times New Roman" w:hAnsi="Times New Roman" w:cs="Times New Roman"/>
                          <w:sz w:val="22"/>
                          <w:szCs w:val="22"/>
                        </w:rPr>
                        <w:t>2</w:t>
                      </w:r>
                    </w:p>
                    <w:p w14:paraId="7806B4E9" w14:textId="77777777" w:rsidR="00E845CC" w:rsidRPr="0058764C" w:rsidRDefault="00E845CC" w:rsidP="00384F1B">
                      <w:pPr>
                        <w:jc w:val="center"/>
                        <w:rPr>
                          <w:rFonts w:ascii="Times New Roman" w:hAnsi="Times New Roman" w:cs="Times New Roman"/>
                          <w:sz w:val="22"/>
                          <w:szCs w:val="22"/>
                        </w:rPr>
                      </w:pPr>
                      <w:r w:rsidRPr="0058764C">
                        <w:rPr>
                          <w:rFonts w:ascii="Times New Roman" w:hAnsi="Times New Roman" w:cs="Times New Roman"/>
                          <w:sz w:val="22"/>
                          <w:szCs w:val="22"/>
                        </w:rPr>
                        <w:t xml:space="preserve">ISSN: </w:t>
                      </w:r>
                      <w:r w:rsidRPr="00DE2494">
                        <w:rPr>
                          <w:rFonts w:ascii="Times New Roman" w:hAnsi="Times New Roman" w:cs="Times New Roman"/>
                          <w:sz w:val="22"/>
                          <w:szCs w:val="22"/>
                        </w:rPr>
                        <w:t>2810-8388</w:t>
                      </w:r>
                    </w:p>
                    <w:p w14:paraId="66BE237D" w14:textId="325BE2E7" w:rsidR="00E845CC" w:rsidRPr="0058764C" w:rsidRDefault="00E845CC" w:rsidP="0058764C">
                      <w:pPr>
                        <w:jc w:val="center"/>
                        <w:rPr>
                          <w:rFonts w:ascii="Times New Roman" w:hAnsi="Times New Roman" w:cs="Times New Roman"/>
                          <w:sz w:val="22"/>
                          <w:szCs w:val="22"/>
                        </w:rPr>
                      </w:pP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a:graphicData>
          </a:graphic>
          <wp14:sizeRelV relativeFrom="margin">
            <wp14:pctHeight>0%</wp14:pctHeight>
          </wp14:sizeRelV>
        </wp:anchor>
      </w:drawing>
    </w:r>
    <w:r>
      <w:rPr>
        <w:lang w:eastAsia="es-ES"/>
      </w:rPr>
      <w:drawing>
        <wp:anchor distT="0" distB="0" distL="114300" distR="114300" simplePos="0" relativeHeight="251670528" behindDoc="0" locked="0" layoutInCell="1" allowOverlap="1" wp14:anchorId="7EFEF197" wp14:editId="432374D0">
          <wp:simplePos x="0" y="0"/>
          <wp:positionH relativeFrom="margin">
            <wp:align>center</wp:align>
          </wp:positionH>
          <wp:positionV relativeFrom="page">
            <wp:posOffset>9703484</wp:posOffset>
          </wp:positionV>
          <wp:extent cx="1005840" cy="1005840"/>
          <wp:effectExtent l="0" t="0" r="0" b="0"/>
          <wp:wrapNone/>
          <wp:docPr id="11" name="Grupo 11"/>
          <wp:cNvGraphicFramePr/>
          <a:graphic xmlns:a="http://purl.oclc.org/ooxml/drawingml/main">
            <a:graphicData uri="http://schemas.microsoft.com/office/word/2010/wordprocessingGroup">
              <wp:wgp>
                <wp:cNvGrpSpPr>
                  <a:extLst>
                    <a:ext uri="{F59B8463-F414-42e2-B3A4-FFEF48DC7170}">
                      <a15:nonVisualGroupProps xmlns:a15="http://schemas.microsoft.com/office/drawing/2012/main" isLegacyGroup="0"/>
                    </a:ext>
                  </a:extLst>
                </wp:cNvGrpSpPr>
                <wp:grpSpPr>
                  <a:xfrm>
                    <a:off x="0" y="0"/>
                    <a:ext cx="1005840" cy="1005840"/>
                    <a:chOff x="0" y="0"/>
                    <a:chExt cx="1005840" cy="1005840"/>
                  </a:xfrm>
                </wp:grpSpPr>
                <wp:wsp>
                  <wp:cNvPr id="12" name="Rectángulo 12"/>
                  <wp:cNvSpPr/>
                  <wp:spPr>
                    <a:xfrm>
                      <a:off x="0" y="0"/>
                      <a:ext cx="1005840" cy="1005840"/>
                    </a:xfrm>
                    <a:prstGeom prst="rect">
                      <a:avLst/>
                    </a:prstGeom>
                    <a:noFill/>
                    <a:ln>
                      <a:no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3" name="Forma libre 5"/>
                  <wp:cNvSpPr>
                    <a:spLocks/>
                  </wp:cNvSpPr>
                  <wp:spPr bwMode="auto">
                    <a:xfrm>
                      <a:off x="104775" y="104775"/>
                      <a:ext cx="787400" cy="787400"/>
                    </a:xfrm>
                    <a:custGeom>
                      <a:avLst/>
                      <a:gdLst>
                        <a:gd name="T0" fmla="*/ 240 w 240"/>
                        <a:gd name="T1" fmla="*/ 120 h 240"/>
                        <a:gd name="T2" fmla="*/ 230 w 240"/>
                        <a:gd name="T3" fmla="*/ 142 h 240"/>
                        <a:gd name="T4" fmla="*/ 230 w 240"/>
                        <a:gd name="T5" fmla="*/ 166 h 240"/>
                        <a:gd name="T6" fmla="*/ 214 w 240"/>
                        <a:gd name="T7" fmla="*/ 183 h 240"/>
                        <a:gd name="T8" fmla="*/ 204 w 240"/>
                        <a:gd name="T9" fmla="*/ 205 h 240"/>
                        <a:gd name="T10" fmla="*/ 182 w 240"/>
                        <a:gd name="T11" fmla="*/ 214 h 240"/>
                        <a:gd name="T12" fmla="*/ 165 w 240"/>
                        <a:gd name="T13" fmla="*/ 231 h 240"/>
                        <a:gd name="T14" fmla="*/ 142 w 240"/>
                        <a:gd name="T15" fmla="*/ 231 h 240"/>
                        <a:gd name="T16" fmla="*/ 120 w 240"/>
                        <a:gd name="T17" fmla="*/ 240 h 240"/>
                        <a:gd name="T18" fmla="*/ 97 w 240"/>
                        <a:gd name="T19" fmla="*/ 231 h 240"/>
                        <a:gd name="T20" fmla="*/ 74 w 240"/>
                        <a:gd name="T21" fmla="*/ 231 h 240"/>
                        <a:gd name="T22" fmla="*/ 57 w 240"/>
                        <a:gd name="T23" fmla="*/ 214 h 240"/>
                        <a:gd name="T24" fmla="*/ 35 w 240"/>
                        <a:gd name="T25" fmla="*/ 205 h 240"/>
                        <a:gd name="T26" fmla="*/ 26 w 240"/>
                        <a:gd name="T27" fmla="*/ 183 h 240"/>
                        <a:gd name="T28" fmla="*/ 9 w 240"/>
                        <a:gd name="T29" fmla="*/ 166 h 240"/>
                        <a:gd name="T30" fmla="*/ 9 w 240"/>
                        <a:gd name="T31" fmla="*/ 142 h 240"/>
                        <a:gd name="T32" fmla="*/ 0 w 240"/>
                        <a:gd name="T33" fmla="*/ 120 h 240"/>
                        <a:gd name="T34" fmla="*/ 9 w 240"/>
                        <a:gd name="T35" fmla="*/ 98 h 240"/>
                        <a:gd name="T36" fmla="*/ 9 w 240"/>
                        <a:gd name="T37" fmla="*/ 74 h 240"/>
                        <a:gd name="T38" fmla="*/ 26 w 240"/>
                        <a:gd name="T39" fmla="*/ 57 h 240"/>
                        <a:gd name="T40" fmla="*/ 35 w 240"/>
                        <a:gd name="T41" fmla="*/ 35 h 240"/>
                        <a:gd name="T42" fmla="*/ 57 w 240"/>
                        <a:gd name="T43" fmla="*/ 26 h 240"/>
                        <a:gd name="T44" fmla="*/ 74 w 240"/>
                        <a:gd name="T45" fmla="*/ 9 h 240"/>
                        <a:gd name="T46" fmla="*/ 97 w 240"/>
                        <a:gd name="T47" fmla="*/ 9 h 240"/>
                        <a:gd name="T48" fmla="*/ 120 w 240"/>
                        <a:gd name="T49" fmla="*/ 0 h 240"/>
                        <a:gd name="T50" fmla="*/ 142 w 240"/>
                        <a:gd name="T51" fmla="*/ 9 h 240"/>
                        <a:gd name="T52" fmla="*/ 165 w 240"/>
                        <a:gd name="T53" fmla="*/ 9 h 240"/>
                        <a:gd name="T54" fmla="*/ 182 w 240"/>
                        <a:gd name="T55" fmla="*/ 26 h 240"/>
                        <a:gd name="T56" fmla="*/ 204 w 240"/>
                        <a:gd name="T57" fmla="*/ 35 h 240"/>
                        <a:gd name="T58" fmla="*/ 214 w 240"/>
                        <a:gd name="T59" fmla="*/ 57 h 240"/>
                        <a:gd name="T60" fmla="*/ 230 w 240"/>
                        <a:gd name="T61" fmla="*/ 74 h 240"/>
                        <a:gd name="T62" fmla="*/ 230 w 240"/>
                        <a:gd name="T63" fmla="*/ 98 h 240"/>
                        <a:gd name="T64" fmla="*/ 240 w 240"/>
                        <a:gd name="T65" fmla="*/ 12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0" h="240">
                          <a:moveTo>
                            <a:pt x="240" y="120"/>
                          </a:moveTo>
                          <a:cubicBezTo>
                            <a:pt x="240" y="128"/>
                            <a:pt x="232" y="135"/>
                            <a:pt x="230" y="142"/>
                          </a:cubicBezTo>
                          <a:cubicBezTo>
                            <a:pt x="229" y="150"/>
                            <a:pt x="233" y="159"/>
                            <a:pt x="230" y="166"/>
                          </a:cubicBezTo>
                          <a:cubicBezTo>
                            <a:pt x="227" y="173"/>
                            <a:pt x="218" y="176"/>
                            <a:pt x="214" y="183"/>
                          </a:cubicBezTo>
                          <a:cubicBezTo>
                            <a:pt x="209" y="189"/>
                            <a:pt x="210" y="199"/>
                            <a:pt x="204" y="205"/>
                          </a:cubicBezTo>
                          <a:cubicBezTo>
                            <a:pt x="199" y="210"/>
                            <a:pt x="189" y="210"/>
                            <a:pt x="182" y="214"/>
                          </a:cubicBezTo>
                          <a:cubicBezTo>
                            <a:pt x="176" y="218"/>
                            <a:pt x="173" y="228"/>
                            <a:pt x="165" y="231"/>
                          </a:cubicBezTo>
                          <a:cubicBezTo>
                            <a:pt x="159" y="234"/>
                            <a:pt x="149" y="229"/>
                            <a:pt x="142" y="231"/>
                          </a:cubicBezTo>
                          <a:cubicBezTo>
                            <a:pt x="134" y="232"/>
                            <a:pt x="127" y="240"/>
                            <a:pt x="120" y="240"/>
                          </a:cubicBezTo>
                          <a:cubicBezTo>
                            <a:pt x="112" y="240"/>
                            <a:pt x="105" y="232"/>
                            <a:pt x="97" y="231"/>
                          </a:cubicBezTo>
                          <a:cubicBezTo>
                            <a:pt x="90" y="229"/>
                            <a:pt x="81" y="234"/>
                            <a:pt x="74" y="231"/>
                          </a:cubicBezTo>
                          <a:cubicBezTo>
                            <a:pt x="67" y="228"/>
                            <a:pt x="63" y="218"/>
                            <a:pt x="57" y="214"/>
                          </a:cubicBezTo>
                          <a:cubicBezTo>
                            <a:pt x="50" y="210"/>
                            <a:pt x="40" y="210"/>
                            <a:pt x="35" y="205"/>
                          </a:cubicBezTo>
                          <a:cubicBezTo>
                            <a:pt x="29" y="199"/>
                            <a:pt x="30" y="189"/>
                            <a:pt x="26" y="183"/>
                          </a:cubicBezTo>
                          <a:cubicBezTo>
                            <a:pt x="21" y="176"/>
                            <a:pt x="12" y="173"/>
                            <a:pt x="9" y="166"/>
                          </a:cubicBezTo>
                          <a:cubicBezTo>
                            <a:pt x="6" y="159"/>
                            <a:pt x="10" y="150"/>
                            <a:pt x="9" y="142"/>
                          </a:cubicBezTo>
                          <a:cubicBezTo>
                            <a:pt x="7" y="135"/>
                            <a:pt x="0" y="128"/>
                            <a:pt x="0" y="120"/>
                          </a:cubicBezTo>
                          <a:cubicBezTo>
                            <a:pt x="0" y="112"/>
                            <a:pt x="7" y="105"/>
                            <a:pt x="9" y="98"/>
                          </a:cubicBezTo>
                          <a:cubicBezTo>
                            <a:pt x="10" y="90"/>
                            <a:pt x="6" y="81"/>
                            <a:pt x="9" y="74"/>
                          </a:cubicBezTo>
                          <a:cubicBezTo>
                            <a:pt x="12" y="67"/>
                            <a:pt x="21" y="64"/>
                            <a:pt x="26" y="57"/>
                          </a:cubicBezTo>
                          <a:cubicBezTo>
                            <a:pt x="30" y="51"/>
                            <a:pt x="29" y="41"/>
                            <a:pt x="35" y="35"/>
                          </a:cubicBezTo>
                          <a:cubicBezTo>
                            <a:pt x="40" y="30"/>
                            <a:pt x="50" y="30"/>
                            <a:pt x="57" y="26"/>
                          </a:cubicBezTo>
                          <a:cubicBezTo>
                            <a:pt x="63" y="22"/>
                            <a:pt x="67" y="12"/>
                            <a:pt x="74" y="9"/>
                          </a:cubicBezTo>
                          <a:cubicBezTo>
                            <a:pt x="81" y="6"/>
                            <a:pt x="90" y="11"/>
                            <a:pt x="97" y="9"/>
                          </a:cubicBezTo>
                          <a:cubicBezTo>
                            <a:pt x="105" y="8"/>
                            <a:pt x="112" y="0"/>
                            <a:pt x="120" y="0"/>
                          </a:cubicBezTo>
                          <a:cubicBezTo>
                            <a:pt x="127" y="0"/>
                            <a:pt x="134" y="8"/>
                            <a:pt x="142" y="9"/>
                          </a:cubicBezTo>
                          <a:cubicBezTo>
                            <a:pt x="149" y="11"/>
                            <a:pt x="159" y="6"/>
                            <a:pt x="165" y="9"/>
                          </a:cubicBezTo>
                          <a:cubicBezTo>
                            <a:pt x="173" y="12"/>
                            <a:pt x="176" y="22"/>
                            <a:pt x="182" y="26"/>
                          </a:cubicBezTo>
                          <a:cubicBezTo>
                            <a:pt x="189" y="30"/>
                            <a:pt x="199" y="30"/>
                            <a:pt x="204" y="35"/>
                          </a:cubicBezTo>
                          <a:cubicBezTo>
                            <a:pt x="210" y="41"/>
                            <a:pt x="209" y="51"/>
                            <a:pt x="214" y="57"/>
                          </a:cubicBezTo>
                          <a:cubicBezTo>
                            <a:pt x="218" y="64"/>
                            <a:pt x="227" y="67"/>
                            <a:pt x="230" y="74"/>
                          </a:cubicBezTo>
                          <a:cubicBezTo>
                            <a:pt x="233" y="81"/>
                            <a:pt x="229" y="90"/>
                            <a:pt x="230" y="98"/>
                          </a:cubicBezTo>
                          <a:cubicBezTo>
                            <a:pt x="232" y="105"/>
                            <a:pt x="240" y="112"/>
                            <a:pt x="240" y="120"/>
                          </a:cubicBezTo>
                          <a:close/>
                        </a:path>
                      </a:pathLst>
                    </a:custGeom>
                    <a:solidFill>
                      <a:srgbClr val="219AF0"/>
                    </a:solidFill>
                    <a:ln>
                      <a:noFill/>
                    </a:ln>
                  </wp:spPr>
                  <wp:txbx>
                    <wne:txbxContent>
                      <w:p w14:paraId="73EA0854" w14:textId="77777777" w:rsidR="00E845CC" w:rsidRDefault="00E845CC">
                        <w:pPr>
                          <w:pStyle w:val="Sinespaciado"/>
                          <w:jc w:val="center"/>
                          <w:rPr>
                            <w:b/>
                            <w:color w:val="E7E6E6" w:themeColor="background2"/>
                            <w:spacing w:val="20"/>
                            <w:sz w:val="36"/>
                            <w:szCs w:val="36"/>
                          </w:rPr>
                        </w:pPr>
                        <w:r>
                          <w:rPr>
                            <w:b/>
                            <w:color w:val="E7E6E6" w:themeColor="background2"/>
                            <w:spacing w:val="20"/>
                            <w:sz w:val="36"/>
                            <w:szCs w:val="36"/>
                          </w:rPr>
                          <w:fldChar w:fldCharType="begin"/>
                        </w:r>
                        <w:r>
                          <w:rPr>
                            <w:b/>
                            <w:color w:val="E7E6E6" w:themeColor="background2"/>
                            <w:spacing w:val="20"/>
                            <w:sz w:val="36"/>
                            <w:szCs w:val="36"/>
                          </w:rPr>
                          <w:instrText xml:space="preserve"> PAGE   \* MERGEFORMAT </w:instrText>
                        </w:r>
                        <w:r>
                          <w:rPr>
                            <w:b/>
                            <w:color w:val="E7E6E6" w:themeColor="background2"/>
                            <w:spacing w:val="20"/>
                            <w:sz w:val="36"/>
                            <w:szCs w:val="36"/>
                          </w:rPr>
                          <w:fldChar w:fldCharType="separate"/>
                        </w:r>
                        <w:r>
                          <w:rPr>
                            <w:b/>
                            <w:noProof/>
                            <w:color w:val="E7E6E6" w:themeColor="background2"/>
                            <w:spacing w:val="20"/>
                            <w:sz w:val="36"/>
                            <w:szCs w:val="36"/>
                          </w:rPr>
                          <w:t>2</w:t>
                        </w:r>
                        <w:r>
                          <w:rPr>
                            <w:b/>
                            <w:noProof/>
                            <w:color w:val="E7E6E6" w:themeColor="background2"/>
                            <w:spacing w:val="20"/>
                            <w:sz w:val="36"/>
                            <w:szCs w:val="36"/>
                          </w:rPr>
                          <w:fldChar w:fldCharType="end"/>
                        </w:r>
                      </w:p>
                    </wne:txbxContent>
                  </wp:txbx>
                  <wp:bodyPr vert="horz" wrap="square" lIns="91440" tIns="45720" rIns="91440" bIns="45720" numCol="1" anchor="ctr" anchorCtr="0" compatLnSpc="1">
                    <a:prstTxWarp prst="textNoShape">
                      <a:avLst/>
                    </a:prstTxWarp>
                  </wp:bodyPr>
                </wp:wsp>
              </wp:wgp>
            </a:graphicData>
          </a:graphic>
        </wp:anchor>
      </w:drawing>
    </w:r>
    <w:r w:rsidRPr="0058764C">
      <w:drawing>
        <wp:anchor distT="0" distB="0" distL="114300" distR="114300" simplePos="0" relativeHeight="251669504" behindDoc="0" locked="0" layoutInCell="1" allowOverlap="1" wp14:anchorId="4DD0ACAA" wp14:editId="6F25D2FD">
          <wp:simplePos x="0" y="0"/>
          <wp:positionH relativeFrom="margin">
            <wp:posOffset>-774065</wp:posOffset>
          </wp:positionH>
          <wp:positionV relativeFrom="paragraph">
            <wp:posOffset>147068</wp:posOffset>
          </wp:positionV>
          <wp:extent cx="6907530" cy="0"/>
          <wp:effectExtent l="0" t="12700" r="26670" b="25400"/>
          <wp:wrapNone/>
          <wp:docPr id="10" name="Conector recto 10"/>
          <wp:cNvGraphicFramePr/>
          <a:graphic xmlns:a="http://purl.oclc.org/ooxml/drawingml/main">
            <a:graphicData uri="http://schemas.microsoft.com/office/word/2010/wordprocessingShape">
              <wp:wsp>
                <wp:cNvCnPr/>
                <wp:spPr>
                  <a:xfrm>
                    <a:off x="0" y="0"/>
                    <a:ext cx="6907530" cy="0"/>
                  </a:xfrm>
                  <a:prstGeom prst="line">
                    <a:avLst/>
                  </a:prstGeom>
                  <a:ln w="38100">
                    <a:solidFill>
                      <a:srgbClr val="219AF0"/>
                    </a:solidFill>
                  </a:ln>
                </wp:spPr>
                <wp:style>
                  <a:lnRef idx="1">
                    <a:schemeClr val="accent1"/>
                  </a:lnRef>
                  <a:fillRef idx="0">
                    <a:schemeClr val="accent1"/>
                  </a:fillRef>
                  <a:effectRef idx="0">
                    <a:schemeClr val="accent1"/>
                  </a:effectRef>
                  <a:fontRef idx="minor">
                    <a:schemeClr val="tx1"/>
                  </a:fontRef>
                </wp:style>
                <wp:bodyPr/>
              </wp:wsp>
            </a:graphicData>
          </a:graphic>
        </wp:anchor>
      </w:drawing>
    </w:r>
  </w:p>
  <w:p w14:paraId="72CC8099" w14:textId="69A2F6BD" w:rsidR="00E845CC" w:rsidRDefault="00E845CC">
    <w:pPr>
      <w:pStyle w:val="Piedepgina"/>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0FA83362" w14:textId="5FC826A6" w:rsidR="00E845CC" w:rsidRDefault="00E845CC" w:rsidP="008110F0">
    <w:pPr>
      <w:pStyle w:val="Piedepgina"/>
    </w:pPr>
    <w:r w:rsidRPr="0058764C">
      <w:drawing>
        <wp:anchor distT="0" distB="0" distL="114300" distR="114300" simplePos="0" relativeHeight="251680768" behindDoc="0" locked="0" layoutInCell="1" allowOverlap="1" wp14:anchorId="14D6F022" wp14:editId="3C01BC6B">
          <wp:simplePos x="0" y="0"/>
          <wp:positionH relativeFrom="margin">
            <wp:posOffset>-774065</wp:posOffset>
          </wp:positionH>
          <wp:positionV relativeFrom="paragraph">
            <wp:posOffset>296419</wp:posOffset>
          </wp:positionV>
          <wp:extent cx="6907530" cy="0"/>
          <wp:effectExtent l="0" t="12700" r="26670" b="25400"/>
          <wp:wrapNone/>
          <wp:docPr id="25" name="Conector recto 25"/>
          <wp:cNvGraphicFramePr/>
          <a:graphic xmlns:a="http://purl.oclc.org/ooxml/drawingml/main">
            <a:graphicData uri="http://schemas.microsoft.com/office/word/2010/wordprocessingShape">
              <wp:wsp>
                <wp:cNvCnPr/>
                <wp:spPr>
                  <a:xfrm>
                    <a:off x="0" y="0"/>
                    <a:ext cx="6907530" cy="0"/>
                  </a:xfrm>
                  <a:prstGeom prst="line">
                    <a:avLst/>
                  </a:prstGeom>
                  <a:ln w="38100">
                    <a:solidFill>
                      <a:srgbClr val="219AF0"/>
                    </a:solidFill>
                  </a:ln>
                </wp:spPr>
                <wp:style>
                  <a:lnRef idx="1">
                    <a:schemeClr val="accent1"/>
                  </a:lnRef>
                  <a:fillRef idx="0">
                    <a:schemeClr val="accent1"/>
                  </a:fillRef>
                  <a:effectRef idx="0">
                    <a:schemeClr val="accent1"/>
                  </a:effectRef>
                  <a:fontRef idx="minor">
                    <a:schemeClr val="tx1"/>
                  </a:fontRef>
                </wp:style>
                <wp:bodyPr/>
              </wp:wsp>
            </a:graphicData>
          </a:graphic>
        </wp:anchor>
      </w:drawing>
    </w:r>
    <w:r w:rsidRPr="0058764C">
      <w:drawing>
        <wp:anchor distT="0" distB="0" distL="114300" distR="114300" simplePos="0" relativeHeight="251679744" behindDoc="0" locked="0" layoutInCell="1" allowOverlap="1" wp14:anchorId="13013EB9" wp14:editId="0D97ED67">
          <wp:simplePos x="0" y="0"/>
          <wp:positionH relativeFrom="column">
            <wp:posOffset>-769620</wp:posOffset>
          </wp:positionH>
          <wp:positionV relativeFrom="paragraph">
            <wp:posOffset>291540</wp:posOffset>
          </wp:positionV>
          <wp:extent cx="2580005" cy="751205"/>
          <wp:effectExtent l="0" t="0" r="0" b="0"/>
          <wp:wrapNone/>
          <wp:docPr id="24" name="Cuadro de texto 24"/>
          <wp:cNvGraphicFramePr/>
          <a:graphic xmlns:a="http://purl.oclc.org/ooxml/drawingml/main">
            <a:graphicData uri="http://schemas.microsoft.com/office/word/2010/wordprocessingShape">
              <wp:wsp>
                <wp:cNvSpPr txBox="1"/>
                <wp:spPr>
                  <a:xfrm>
                    <a:off x="0" y="0"/>
                    <a:ext cx="2580005" cy="751205"/>
                  </a:xfrm>
                  <a:prstGeom prst="rect">
                    <a:avLst/>
                  </a:prstGeom>
                  <a:solidFill>
                    <a:schemeClr val="lt1"/>
                  </a:solidFill>
                  <a:ln w="6350">
                    <a:noFill/>
                  </a:ln>
                </wp:spPr>
                <wp:txbx>
                  <wne:txbxContent>
                    <w:p w14:paraId="5933D6F7" w14:textId="77777777" w:rsidR="00E845CC" w:rsidRPr="00B75EE6" w:rsidRDefault="00E845CC" w:rsidP="00B75EE6">
                      <w:pPr>
                        <w:pStyle w:val="NormalWeb"/>
                        <w:jc w:val="center"/>
                        <w:rPr>
                          <w:sz w:val="22"/>
                          <w:szCs w:val="22"/>
                        </w:rPr>
                      </w:pPr>
                      <w:r w:rsidRPr="00B75EE6">
                        <w:rPr>
                          <w:sz w:val="22"/>
                          <w:szCs w:val="22"/>
                        </w:rPr>
                        <w:t>REVISTA HECHOS CONTABLES</w:t>
                      </w:r>
                      <w:r w:rsidRPr="00B75EE6">
                        <w:rPr>
                          <w:sz w:val="22"/>
                          <w:szCs w:val="22"/>
                        </w:rPr>
                        <w:br/>
                        <w:t xml:space="preserve">Revista de </w:t>
                      </w:r>
                      <w:proofErr w:type="spellStart"/>
                      <w:r w:rsidRPr="00B75EE6">
                        <w:rPr>
                          <w:sz w:val="22"/>
                          <w:szCs w:val="22"/>
                        </w:rPr>
                        <w:t>Investigación</w:t>
                      </w:r>
                      <w:proofErr w:type="spellEnd"/>
                      <w:r w:rsidRPr="00B75EE6">
                        <w:rPr>
                          <w:sz w:val="22"/>
                          <w:szCs w:val="22"/>
                        </w:rPr>
                        <w:t xml:space="preserve"> en Contabilidad.</w:t>
                      </w:r>
                      <w:r w:rsidRPr="00B75EE6">
                        <w:rPr>
                          <w:sz w:val="22"/>
                          <w:szCs w:val="22"/>
                        </w:rPr>
                        <w:br/>
                      </w:r>
                      <w:hyperlink r:id="rId1" w:history="1">
                        <w:r w:rsidRPr="00B75EE6">
                          <w:rPr>
                            <w:rStyle w:val="Hipervnculo"/>
                            <w:sz w:val="22"/>
                            <w:szCs w:val="22"/>
                          </w:rPr>
                          <w:t>www.educas.com.pe</w:t>
                        </w:r>
                      </w:hyperlink>
                    </w:p>
                    <w:p w14:paraId="34CAA90C" w14:textId="77777777" w:rsidR="00E845CC" w:rsidRPr="00B75EE6" w:rsidRDefault="00E845CC" w:rsidP="00B75EE6">
                      <w:pPr>
                        <w:pStyle w:val="NormalWeb"/>
                        <w:jc w:val="center"/>
                        <w:rPr>
                          <w:sz w:val="22"/>
                          <w:szCs w:val="22"/>
                        </w:rPr>
                      </w:pPr>
                    </w:p>
                    <w:p w14:paraId="1985062D" w14:textId="77777777" w:rsidR="00E845CC" w:rsidRPr="0058764C" w:rsidRDefault="00E845CC" w:rsidP="00B75EE6">
                      <w:pPr>
                        <w:pStyle w:val="NormalWeb"/>
                        <w:shd w:val="clear" w:color="auto" w:fill="FFFFFF"/>
                        <w:jc w:val="center"/>
                        <w:rPr>
                          <w:sz w:val="22"/>
                          <w:szCs w:val="22"/>
                        </w:rPr>
                      </w:pP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a:graphicData>
          </a:graphic>
          <wp14:sizeRelH relativeFrom="margin">
            <wp14:pctWidth>0%</wp14:pctWidth>
          </wp14:sizeRelH>
        </wp:anchor>
      </w:drawing>
    </w:r>
    <w:r>
      <w:rPr>
        <w:lang w:eastAsia="es-ES"/>
      </w:rPr>
      <w:drawing>
        <wp:anchor distT="0" distB="0" distL="114300" distR="114300" simplePos="0" relativeHeight="251681792" behindDoc="0" locked="0" layoutInCell="1" allowOverlap="1" wp14:anchorId="0D0994CF" wp14:editId="439E7B1A">
          <wp:simplePos x="0" y="0"/>
          <wp:positionH relativeFrom="page">
            <wp:posOffset>3277235</wp:posOffset>
          </wp:positionH>
          <wp:positionV relativeFrom="page">
            <wp:posOffset>9612630</wp:posOffset>
          </wp:positionV>
          <wp:extent cx="1005840" cy="1005840"/>
          <wp:effectExtent l="0" t="0" r="0" b="0"/>
          <wp:wrapNone/>
          <wp:docPr id="20" name="Grupo 20"/>
          <wp:cNvGraphicFramePr/>
          <a:graphic xmlns:a="http://purl.oclc.org/ooxml/drawingml/main">
            <a:graphicData uri="http://schemas.microsoft.com/office/word/2010/wordprocessingGroup">
              <wp:wgp>
                <wp:cNvGrpSpPr>
                  <a:extLst>
                    <a:ext uri="{F59B8463-F414-42e2-B3A4-FFEF48DC7170}">
                      <a15:nonVisualGroupProps xmlns:a15="http://schemas.microsoft.com/office/drawing/2012/main" isLegacyGroup="0"/>
                    </a:ext>
                  </a:extLst>
                </wp:cNvGrpSpPr>
                <wp:grpSpPr>
                  <a:xfrm>
                    <a:off x="0" y="0"/>
                    <a:ext cx="1005840" cy="1005840"/>
                    <a:chOff x="0" y="0"/>
                    <a:chExt cx="1005840" cy="1005840"/>
                  </a:xfrm>
                </wp:grpSpPr>
                <wp:wsp>
                  <wp:cNvPr id="21" name="Rectángulo 21"/>
                  <wp:cNvSpPr/>
                  <wp:spPr>
                    <a:xfrm>
                      <a:off x="0" y="0"/>
                      <a:ext cx="1005840" cy="1005840"/>
                    </a:xfrm>
                    <a:prstGeom prst="rect">
                      <a:avLst/>
                    </a:prstGeom>
                    <a:noFill/>
                    <a:ln>
                      <a:no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22" name="Forma libre 5"/>
                  <wp:cNvSpPr>
                    <a:spLocks/>
                  </wp:cNvSpPr>
                  <wp:spPr bwMode="auto">
                    <a:xfrm>
                      <a:off x="104775" y="104775"/>
                      <a:ext cx="787400" cy="787400"/>
                    </a:xfrm>
                    <a:custGeom>
                      <a:avLst/>
                      <a:gdLst>
                        <a:gd name="T0" fmla="*/ 240 w 240"/>
                        <a:gd name="T1" fmla="*/ 120 h 240"/>
                        <a:gd name="T2" fmla="*/ 230 w 240"/>
                        <a:gd name="T3" fmla="*/ 142 h 240"/>
                        <a:gd name="T4" fmla="*/ 230 w 240"/>
                        <a:gd name="T5" fmla="*/ 166 h 240"/>
                        <a:gd name="T6" fmla="*/ 214 w 240"/>
                        <a:gd name="T7" fmla="*/ 183 h 240"/>
                        <a:gd name="T8" fmla="*/ 204 w 240"/>
                        <a:gd name="T9" fmla="*/ 205 h 240"/>
                        <a:gd name="T10" fmla="*/ 182 w 240"/>
                        <a:gd name="T11" fmla="*/ 214 h 240"/>
                        <a:gd name="T12" fmla="*/ 165 w 240"/>
                        <a:gd name="T13" fmla="*/ 231 h 240"/>
                        <a:gd name="T14" fmla="*/ 142 w 240"/>
                        <a:gd name="T15" fmla="*/ 231 h 240"/>
                        <a:gd name="T16" fmla="*/ 120 w 240"/>
                        <a:gd name="T17" fmla="*/ 240 h 240"/>
                        <a:gd name="T18" fmla="*/ 97 w 240"/>
                        <a:gd name="T19" fmla="*/ 231 h 240"/>
                        <a:gd name="T20" fmla="*/ 74 w 240"/>
                        <a:gd name="T21" fmla="*/ 231 h 240"/>
                        <a:gd name="T22" fmla="*/ 57 w 240"/>
                        <a:gd name="T23" fmla="*/ 214 h 240"/>
                        <a:gd name="T24" fmla="*/ 35 w 240"/>
                        <a:gd name="T25" fmla="*/ 205 h 240"/>
                        <a:gd name="T26" fmla="*/ 26 w 240"/>
                        <a:gd name="T27" fmla="*/ 183 h 240"/>
                        <a:gd name="T28" fmla="*/ 9 w 240"/>
                        <a:gd name="T29" fmla="*/ 166 h 240"/>
                        <a:gd name="T30" fmla="*/ 9 w 240"/>
                        <a:gd name="T31" fmla="*/ 142 h 240"/>
                        <a:gd name="T32" fmla="*/ 0 w 240"/>
                        <a:gd name="T33" fmla="*/ 120 h 240"/>
                        <a:gd name="T34" fmla="*/ 9 w 240"/>
                        <a:gd name="T35" fmla="*/ 98 h 240"/>
                        <a:gd name="T36" fmla="*/ 9 w 240"/>
                        <a:gd name="T37" fmla="*/ 74 h 240"/>
                        <a:gd name="T38" fmla="*/ 26 w 240"/>
                        <a:gd name="T39" fmla="*/ 57 h 240"/>
                        <a:gd name="T40" fmla="*/ 35 w 240"/>
                        <a:gd name="T41" fmla="*/ 35 h 240"/>
                        <a:gd name="T42" fmla="*/ 57 w 240"/>
                        <a:gd name="T43" fmla="*/ 26 h 240"/>
                        <a:gd name="T44" fmla="*/ 74 w 240"/>
                        <a:gd name="T45" fmla="*/ 9 h 240"/>
                        <a:gd name="T46" fmla="*/ 97 w 240"/>
                        <a:gd name="T47" fmla="*/ 9 h 240"/>
                        <a:gd name="T48" fmla="*/ 120 w 240"/>
                        <a:gd name="T49" fmla="*/ 0 h 240"/>
                        <a:gd name="T50" fmla="*/ 142 w 240"/>
                        <a:gd name="T51" fmla="*/ 9 h 240"/>
                        <a:gd name="T52" fmla="*/ 165 w 240"/>
                        <a:gd name="T53" fmla="*/ 9 h 240"/>
                        <a:gd name="T54" fmla="*/ 182 w 240"/>
                        <a:gd name="T55" fmla="*/ 26 h 240"/>
                        <a:gd name="T56" fmla="*/ 204 w 240"/>
                        <a:gd name="T57" fmla="*/ 35 h 240"/>
                        <a:gd name="T58" fmla="*/ 214 w 240"/>
                        <a:gd name="T59" fmla="*/ 57 h 240"/>
                        <a:gd name="T60" fmla="*/ 230 w 240"/>
                        <a:gd name="T61" fmla="*/ 74 h 240"/>
                        <a:gd name="T62" fmla="*/ 230 w 240"/>
                        <a:gd name="T63" fmla="*/ 98 h 240"/>
                        <a:gd name="T64" fmla="*/ 240 w 240"/>
                        <a:gd name="T65" fmla="*/ 12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0" h="240">
                          <a:moveTo>
                            <a:pt x="240" y="120"/>
                          </a:moveTo>
                          <a:cubicBezTo>
                            <a:pt x="240" y="128"/>
                            <a:pt x="232" y="135"/>
                            <a:pt x="230" y="142"/>
                          </a:cubicBezTo>
                          <a:cubicBezTo>
                            <a:pt x="229" y="150"/>
                            <a:pt x="233" y="159"/>
                            <a:pt x="230" y="166"/>
                          </a:cubicBezTo>
                          <a:cubicBezTo>
                            <a:pt x="227" y="173"/>
                            <a:pt x="218" y="176"/>
                            <a:pt x="214" y="183"/>
                          </a:cubicBezTo>
                          <a:cubicBezTo>
                            <a:pt x="209" y="189"/>
                            <a:pt x="210" y="199"/>
                            <a:pt x="204" y="205"/>
                          </a:cubicBezTo>
                          <a:cubicBezTo>
                            <a:pt x="199" y="210"/>
                            <a:pt x="189" y="210"/>
                            <a:pt x="182" y="214"/>
                          </a:cubicBezTo>
                          <a:cubicBezTo>
                            <a:pt x="176" y="218"/>
                            <a:pt x="173" y="228"/>
                            <a:pt x="165" y="231"/>
                          </a:cubicBezTo>
                          <a:cubicBezTo>
                            <a:pt x="159" y="234"/>
                            <a:pt x="149" y="229"/>
                            <a:pt x="142" y="231"/>
                          </a:cubicBezTo>
                          <a:cubicBezTo>
                            <a:pt x="134" y="232"/>
                            <a:pt x="127" y="240"/>
                            <a:pt x="120" y="240"/>
                          </a:cubicBezTo>
                          <a:cubicBezTo>
                            <a:pt x="112" y="240"/>
                            <a:pt x="105" y="232"/>
                            <a:pt x="97" y="231"/>
                          </a:cubicBezTo>
                          <a:cubicBezTo>
                            <a:pt x="90" y="229"/>
                            <a:pt x="81" y="234"/>
                            <a:pt x="74" y="231"/>
                          </a:cubicBezTo>
                          <a:cubicBezTo>
                            <a:pt x="67" y="228"/>
                            <a:pt x="63" y="218"/>
                            <a:pt x="57" y="214"/>
                          </a:cubicBezTo>
                          <a:cubicBezTo>
                            <a:pt x="50" y="210"/>
                            <a:pt x="40" y="210"/>
                            <a:pt x="35" y="205"/>
                          </a:cubicBezTo>
                          <a:cubicBezTo>
                            <a:pt x="29" y="199"/>
                            <a:pt x="30" y="189"/>
                            <a:pt x="26" y="183"/>
                          </a:cubicBezTo>
                          <a:cubicBezTo>
                            <a:pt x="21" y="176"/>
                            <a:pt x="12" y="173"/>
                            <a:pt x="9" y="166"/>
                          </a:cubicBezTo>
                          <a:cubicBezTo>
                            <a:pt x="6" y="159"/>
                            <a:pt x="10" y="150"/>
                            <a:pt x="9" y="142"/>
                          </a:cubicBezTo>
                          <a:cubicBezTo>
                            <a:pt x="7" y="135"/>
                            <a:pt x="0" y="128"/>
                            <a:pt x="0" y="120"/>
                          </a:cubicBezTo>
                          <a:cubicBezTo>
                            <a:pt x="0" y="112"/>
                            <a:pt x="7" y="105"/>
                            <a:pt x="9" y="98"/>
                          </a:cubicBezTo>
                          <a:cubicBezTo>
                            <a:pt x="10" y="90"/>
                            <a:pt x="6" y="81"/>
                            <a:pt x="9" y="74"/>
                          </a:cubicBezTo>
                          <a:cubicBezTo>
                            <a:pt x="12" y="67"/>
                            <a:pt x="21" y="64"/>
                            <a:pt x="26" y="57"/>
                          </a:cubicBezTo>
                          <a:cubicBezTo>
                            <a:pt x="30" y="51"/>
                            <a:pt x="29" y="41"/>
                            <a:pt x="35" y="35"/>
                          </a:cubicBezTo>
                          <a:cubicBezTo>
                            <a:pt x="40" y="30"/>
                            <a:pt x="50" y="30"/>
                            <a:pt x="57" y="26"/>
                          </a:cubicBezTo>
                          <a:cubicBezTo>
                            <a:pt x="63" y="22"/>
                            <a:pt x="67" y="12"/>
                            <a:pt x="74" y="9"/>
                          </a:cubicBezTo>
                          <a:cubicBezTo>
                            <a:pt x="81" y="6"/>
                            <a:pt x="90" y="11"/>
                            <a:pt x="97" y="9"/>
                          </a:cubicBezTo>
                          <a:cubicBezTo>
                            <a:pt x="105" y="8"/>
                            <a:pt x="112" y="0"/>
                            <a:pt x="120" y="0"/>
                          </a:cubicBezTo>
                          <a:cubicBezTo>
                            <a:pt x="127" y="0"/>
                            <a:pt x="134" y="8"/>
                            <a:pt x="142" y="9"/>
                          </a:cubicBezTo>
                          <a:cubicBezTo>
                            <a:pt x="149" y="11"/>
                            <a:pt x="159" y="6"/>
                            <a:pt x="165" y="9"/>
                          </a:cubicBezTo>
                          <a:cubicBezTo>
                            <a:pt x="173" y="12"/>
                            <a:pt x="176" y="22"/>
                            <a:pt x="182" y="26"/>
                          </a:cubicBezTo>
                          <a:cubicBezTo>
                            <a:pt x="189" y="30"/>
                            <a:pt x="199" y="30"/>
                            <a:pt x="204" y="35"/>
                          </a:cubicBezTo>
                          <a:cubicBezTo>
                            <a:pt x="210" y="41"/>
                            <a:pt x="209" y="51"/>
                            <a:pt x="214" y="57"/>
                          </a:cubicBezTo>
                          <a:cubicBezTo>
                            <a:pt x="218" y="64"/>
                            <a:pt x="227" y="67"/>
                            <a:pt x="230" y="74"/>
                          </a:cubicBezTo>
                          <a:cubicBezTo>
                            <a:pt x="233" y="81"/>
                            <a:pt x="229" y="90"/>
                            <a:pt x="230" y="98"/>
                          </a:cubicBezTo>
                          <a:cubicBezTo>
                            <a:pt x="232" y="105"/>
                            <a:pt x="240" y="112"/>
                            <a:pt x="240" y="120"/>
                          </a:cubicBezTo>
                          <a:close/>
                        </a:path>
                      </a:pathLst>
                    </a:custGeom>
                    <a:solidFill>
                      <a:srgbClr val="219AF0"/>
                    </a:solidFill>
                    <a:ln>
                      <a:noFill/>
                    </a:ln>
                  </wp:spPr>
                  <wp:txbx>
                    <wne:txbxContent>
                      <w:p w14:paraId="110DA655" w14:textId="77777777" w:rsidR="00E845CC" w:rsidRDefault="00E845CC" w:rsidP="008110F0">
                        <w:pPr>
                          <w:pStyle w:val="Sinespaciado"/>
                          <w:jc w:val="center"/>
                          <w:rPr>
                            <w:b/>
                            <w:color w:val="E7E6E6" w:themeColor="background2"/>
                            <w:spacing w:val="20"/>
                            <w:sz w:val="36"/>
                            <w:szCs w:val="36"/>
                          </w:rPr>
                        </w:pPr>
                        <w:r>
                          <w:rPr>
                            <w:b/>
                            <w:color w:val="E7E6E6" w:themeColor="background2"/>
                            <w:spacing w:val="20"/>
                            <w:sz w:val="36"/>
                            <w:szCs w:val="36"/>
                          </w:rPr>
                          <w:fldChar w:fldCharType="begin"/>
                        </w:r>
                        <w:r>
                          <w:rPr>
                            <w:b/>
                            <w:color w:val="E7E6E6" w:themeColor="background2"/>
                            <w:spacing w:val="20"/>
                            <w:sz w:val="36"/>
                            <w:szCs w:val="36"/>
                          </w:rPr>
                          <w:instrText xml:space="preserve"> PAGE   \* MERGEFORMAT </w:instrText>
                        </w:r>
                        <w:r>
                          <w:rPr>
                            <w:b/>
                            <w:color w:val="E7E6E6" w:themeColor="background2"/>
                            <w:spacing w:val="20"/>
                            <w:sz w:val="36"/>
                            <w:szCs w:val="36"/>
                          </w:rPr>
                          <w:fldChar w:fldCharType="separate"/>
                        </w:r>
                        <w:r>
                          <w:rPr>
                            <w:b/>
                            <w:noProof/>
                            <w:color w:val="E7E6E6" w:themeColor="background2"/>
                            <w:spacing w:val="20"/>
                            <w:sz w:val="36"/>
                            <w:szCs w:val="36"/>
                          </w:rPr>
                          <w:t>2</w:t>
                        </w:r>
                        <w:r>
                          <w:rPr>
                            <w:b/>
                            <w:noProof/>
                            <w:color w:val="E7E6E6" w:themeColor="background2"/>
                            <w:spacing w:val="20"/>
                            <w:sz w:val="36"/>
                            <w:szCs w:val="36"/>
                          </w:rPr>
                          <w:fldChar w:fldCharType="end"/>
                        </w:r>
                      </w:p>
                    </wne:txbxContent>
                  </wp:txbx>
                  <wp:bodyPr vert="horz" wrap="square" lIns="91440" tIns="45720" rIns="91440" bIns="45720" numCol="1" anchor="ctr" anchorCtr="0" compatLnSpc="1">
                    <a:prstTxWarp prst="textNoShape">
                      <a:avLst/>
                    </a:prstTxWarp>
                  </wp:bodyPr>
                </wp:wsp>
              </wp:wgp>
            </a:graphicData>
          </a:graphic>
        </wp:anchor>
      </w:drawing>
    </w:r>
  </w:p>
  <w:p w14:paraId="42C7FB89" w14:textId="1C7F940F" w:rsidR="00E845CC" w:rsidRDefault="00E845CC" w:rsidP="008110F0">
    <w:pPr>
      <w:pStyle w:val="Piedepgina"/>
    </w:pPr>
    <w:r w:rsidRPr="0058764C">
      <w:drawing>
        <wp:anchor distT="0" distB="0" distL="114300" distR="114300" simplePos="0" relativeHeight="251678720" behindDoc="0" locked="0" layoutInCell="1" allowOverlap="1" wp14:anchorId="31E56D3D" wp14:editId="78C65454">
          <wp:simplePos x="0" y="0"/>
          <wp:positionH relativeFrom="column">
            <wp:posOffset>3803650</wp:posOffset>
          </wp:positionH>
          <wp:positionV relativeFrom="paragraph">
            <wp:posOffset>107901</wp:posOffset>
          </wp:positionV>
          <wp:extent cx="1873885" cy="597528"/>
          <wp:effectExtent l="0" t="0" r="5715" b="0"/>
          <wp:wrapNone/>
          <wp:docPr id="23" name="Cuadro de texto 23"/>
          <wp:cNvGraphicFramePr/>
          <a:graphic xmlns:a="http://purl.oclc.org/ooxml/drawingml/main">
            <a:graphicData uri="http://schemas.microsoft.com/office/word/2010/wordprocessingShape">
              <wp:wsp>
                <wp:cNvSpPr txBox="1"/>
                <wp:spPr>
                  <a:xfrm>
                    <a:off x="0" y="0"/>
                    <a:ext cx="1873885" cy="597528"/>
                  </a:xfrm>
                  <a:prstGeom prst="rect">
                    <a:avLst/>
                  </a:prstGeom>
                  <a:solidFill>
                    <a:schemeClr val="lt1"/>
                  </a:solidFill>
                  <a:ln w="6350">
                    <a:noFill/>
                  </a:ln>
                </wp:spPr>
                <wp:txbx>
                  <wne:txbxContent>
                    <w:p w14:paraId="00BC2A67" w14:textId="77777777" w:rsidR="008A1537" w:rsidRDefault="008A1537" w:rsidP="008A1537">
                      <w:pPr>
                        <w:jc w:val="center"/>
                        <w:rPr>
                          <w:rFonts w:ascii="Times New Roman" w:hAnsi="Times New Roman" w:cs="Times New Roman"/>
                          <w:sz w:val="22"/>
                          <w:szCs w:val="22"/>
                        </w:rPr>
                      </w:pPr>
                      <w:r w:rsidRPr="0058764C">
                        <w:rPr>
                          <w:rFonts w:ascii="Times New Roman" w:hAnsi="Times New Roman" w:cs="Times New Roman"/>
                          <w:sz w:val="22"/>
                          <w:szCs w:val="22"/>
                        </w:rPr>
                        <w:t xml:space="preserve">Vol. </w:t>
                      </w:r>
                      <w:r>
                        <w:rPr>
                          <w:rFonts w:ascii="Times New Roman" w:hAnsi="Times New Roman" w:cs="Times New Roman"/>
                          <w:sz w:val="22"/>
                          <w:szCs w:val="22"/>
                        </w:rPr>
                        <w:t>2</w:t>
                      </w:r>
                      <w:r w:rsidRPr="0058764C">
                        <w:rPr>
                          <w:rFonts w:ascii="Times New Roman" w:hAnsi="Times New Roman" w:cs="Times New Roman"/>
                          <w:sz w:val="22"/>
                          <w:szCs w:val="22"/>
                        </w:rPr>
                        <w:t xml:space="preserve"> No. </w:t>
                      </w:r>
                      <w:r>
                        <w:rPr>
                          <w:rFonts w:ascii="Times New Roman" w:hAnsi="Times New Roman" w:cs="Times New Roman"/>
                          <w:sz w:val="22"/>
                          <w:szCs w:val="22"/>
                        </w:rPr>
                        <w:t>2, pp 153 - 171</w:t>
                      </w:r>
                    </w:p>
                    <w:p w14:paraId="392A3AB2" w14:textId="78038FC9" w:rsidR="00E845CC" w:rsidRPr="0058764C" w:rsidRDefault="00E845CC" w:rsidP="00291B7B">
                      <w:pPr>
                        <w:jc w:val="center"/>
                        <w:rPr>
                          <w:rFonts w:ascii="Times New Roman" w:hAnsi="Times New Roman" w:cs="Times New Roman"/>
                          <w:sz w:val="22"/>
                          <w:szCs w:val="22"/>
                        </w:rPr>
                      </w:pPr>
                      <w:r>
                        <w:rPr>
                          <w:rFonts w:ascii="Times New Roman" w:hAnsi="Times New Roman" w:cs="Times New Roman"/>
                          <w:sz w:val="22"/>
                          <w:szCs w:val="22"/>
                        </w:rPr>
                        <w:t>Junio - Diciembre</w:t>
                      </w:r>
                      <w:r w:rsidRPr="0058764C">
                        <w:rPr>
                          <w:rFonts w:ascii="Times New Roman" w:hAnsi="Times New Roman" w:cs="Times New Roman"/>
                          <w:sz w:val="22"/>
                          <w:szCs w:val="22"/>
                        </w:rPr>
                        <w:t xml:space="preserve"> 202</w:t>
                      </w:r>
                      <w:r>
                        <w:rPr>
                          <w:rFonts w:ascii="Times New Roman" w:hAnsi="Times New Roman" w:cs="Times New Roman"/>
                          <w:sz w:val="22"/>
                          <w:szCs w:val="22"/>
                        </w:rPr>
                        <w:t>2</w:t>
                      </w:r>
                    </w:p>
                    <w:p w14:paraId="0E9BBD0E" w14:textId="77777777" w:rsidR="00E845CC" w:rsidRPr="0058764C" w:rsidRDefault="00E845CC" w:rsidP="00D02084">
                      <w:pPr>
                        <w:jc w:val="center"/>
                        <w:rPr>
                          <w:rFonts w:ascii="Times New Roman" w:hAnsi="Times New Roman" w:cs="Times New Roman"/>
                          <w:sz w:val="22"/>
                          <w:szCs w:val="22"/>
                        </w:rPr>
                      </w:pPr>
                      <w:r w:rsidRPr="0058764C">
                        <w:rPr>
                          <w:rFonts w:ascii="Times New Roman" w:hAnsi="Times New Roman" w:cs="Times New Roman"/>
                          <w:sz w:val="22"/>
                          <w:szCs w:val="22"/>
                        </w:rPr>
                        <w:t xml:space="preserve">ISSN: </w:t>
                      </w:r>
                      <w:r w:rsidRPr="00DE2494">
                        <w:rPr>
                          <w:rFonts w:ascii="Times New Roman" w:hAnsi="Times New Roman" w:cs="Times New Roman"/>
                          <w:sz w:val="22"/>
                          <w:szCs w:val="22"/>
                        </w:rPr>
                        <w:t>2810-8388</w:t>
                      </w:r>
                    </w:p>
                    <w:p w14:paraId="07B06EE6" w14:textId="77777777" w:rsidR="00E845CC" w:rsidRPr="0058764C" w:rsidRDefault="00E845CC" w:rsidP="00D02084">
                      <w:pPr>
                        <w:jc w:val="center"/>
                        <w:rPr>
                          <w:rFonts w:ascii="Times New Roman" w:hAnsi="Times New Roman" w:cs="Times New Roman"/>
                          <w:sz w:val="22"/>
                          <w:szCs w:val="22"/>
                        </w:rPr>
                      </w:pPr>
                    </w:p>
                    <w:p w14:paraId="0718DF9F" w14:textId="0B66EA91" w:rsidR="00E845CC" w:rsidRPr="0058764C" w:rsidRDefault="00E845CC" w:rsidP="00384F1B">
                      <w:pPr>
                        <w:rPr>
                          <w:rFonts w:ascii="Times New Roman" w:hAnsi="Times New Roman" w:cs="Times New Roman"/>
                          <w:sz w:val="22"/>
                          <w:szCs w:val="22"/>
                        </w:rPr>
                      </w:pP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a:graphicData>
          </a:graphic>
          <wp14:sizeRelV relativeFrom="margin">
            <wp14:pctHeight>0%</wp14:pctHeight>
          </wp14:sizeRelV>
        </wp:anchor>
      </w:drawing>
    </w:r>
  </w:p>
  <w:p w14:paraId="5C39931A" w14:textId="77777777" w:rsidR="00E845CC" w:rsidRDefault="00E845CC">
    <w:pPr>
      <w:pStyle w:val="Piedepgina"/>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14:paraId="7CB52046" w14:textId="77777777" w:rsidR="00535B3D" w:rsidRDefault="00535B3D" w:rsidP="009F0FFB">
      <w:r>
        <w:separator/>
      </w:r>
    </w:p>
  </w:footnote>
  <w:footnote w:type="continuationSeparator" w:id="0">
    <w:p w14:paraId="72597E4A" w14:textId="77777777" w:rsidR="00535B3D" w:rsidRDefault="00535B3D" w:rsidP="009F0FFB">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1A93B0AB" w14:textId="4F3CD6A6" w:rsidR="00E845CC" w:rsidRDefault="00E845CC">
    <w:pPr>
      <w:pStyle w:val="Encabezado"/>
    </w:pPr>
    <w:r>
      <w:drawing>
        <wp:anchor distT="0" distB="0" distL="114300" distR="114300" simplePos="0" relativeHeight="251688960" behindDoc="0" locked="0" layoutInCell="1" allowOverlap="1" wp14:anchorId="6C037F56" wp14:editId="2DFAA165">
          <wp:simplePos x="0" y="0"/>
          <wp:positionH relativeFrom="column">
            <wp:posOffset>-1122338</wp:posOffset>
          </wp:positionH>
          <wp:positionV relativeFrom="paragraph">
            <wp:posOffset>-449579</wp:posOffset>
          </wp:positionV>
          <wp:extent cx="7722606" cy="801858"/>
          <wp:effectExtent l="0" t="0" r="0" b="0"/>
          <wp:wrapNone/>
          <wp:docPr id="32" name="Rectángulo 32"/>
          <wp:cNvGraphicFramePr/>
          <a:graphic xmlns:a="http://purl.oclc.org/ooxml/drawingml/main">
            <a:graphicData uri="http://schemas.microsoft.com/office/word/2010/wordprocessingShape">
              <wp:wsp>
                <wp:cNvSpPr/>
                <wp:spPr>
                  <a:xfrm>
                    <a:off x="0" y="0"/>
                    <a:ext cx="7722606" cy="801858"/>
                  </a:xfrm>
                  <a:prstGeom prst="rect">
                    <a:avLst/>
                  </a:prstGeom>
                  <a:solidFill>
                    <a:srgbClr val="219AF0"/>
                  </a:solidFill>
                  <a:ln>
                    <a:noFill/>
                  </a:ln>
                </wp:spPr>
                <wp:style>
                  <a:lnRef idx="2">
                    <a:schemeClr val="accent1">
                      <a:shade val="50%"/>
                    </a:schemeClr>
                  </a:lnRef>
                  <a:fillRef idx="1">
                    <a:schemeClr val="accent1"/>
                  </a:fillRef>
                  <a:effectRef idx="0">
                    <a:schemeClr val="accent1"/>
                  </a:effectRef>
                  <a:fontRef idx="minor">
                    <a:schemeClr val="lt1"/>
                  </a:fontRef>
                </wp:style>
                <wp:txbx>
                  <wne:txbxContent>
                    <w:p w14:paraId="316D3A92" w14:textId="15319751" w:rsidR="00E845CC" w:rsidRPr="005B6F47" w:rsidRDefault="00E845CC" w:rsidP="00D26FC0">
                      <w:pPr>
                        <w:spacing w:line="13.80pt" w:lineRule="auto"/>
                        <w:ind w:start="56.70pt" w:end="54.10pt"/>
                        <w:jc w:val="center"/>
                        <w:rPr>
                          <w:rFonts w:ascii="Times New Roman" w:eastAsia="Times New Roman" w:hAnsi="Times New Roman" w:cs="Times New Roman"/>
                          <w:noProof w:val="0"/>
                          <w:sz w:val="22"/>
                          <w:szCs w:val="22"/>
                          <w:lang w:val="es-PE" w:eastAsia="en-GB"/>
                        </w:rPr>
                      </w:pPr>
                      <w:proofErr w:type="spellStart"/>
                      <w:r w:rsidRPr="00E845CC">
                        <w:rPr>
                          <w:rFonts w:ascii="Times New Roman" w:eastAsia="Times New Roman" w:hAnsi="Times New Roman" w:cs="Times New Roman"/>
                          <w:noProof w:val="0"/>
                          <w:sz w:val="22"/>
                          <w:szCs w:val="22"/>
                          <w:lang w:val="es-PE" w:eastAsia="en-GB"/>
                        </w:rPr>
                        <w:t>Ennit</w:t>
                      </w:r>
                      <w:proofErr w:type="spellEnd"/>
                      <w:r w:rsidRPr="00E845CC">
                        <w:rPr>
                          <w:rFonts w:ascii="Times New Roman" w:eastAsia="Times New Roman" w:hAnsi="Times New Roman" w:cs="Times New Roman"/>
                          <w:noProof w:val="0"/>
                          <w:sz w:val="22"/>
                          <w:szCs w:val="22"/>
                          <w:lang w:val="es-PE" w:eastAsia="en-GB"/>
                        </w:rPr>
                        <w:t xml:space="preserve"> Gutiérrez </w:t>
                      </w:r>
                      <w:proofErr w:type="spellStart"/>
                      <w:r w:rsidRPr="00E845CC">
                        <w:rPr>
                          <w:rFonts w:ascii="Times New Roman" w:eastAsia="Times New Roman" w:hAnsi="Times New Roman" w:cs="Times New Roman"/>
                          <w:noProof w:val="0"/>
                          <w:sz w:val="22"/>
                          <w:szCs w:val="22"/>
                          <w:lang w:val="es-PE" w:eastAsia="en-GB"/>
                        </w:rPr>
                        <w:t>Oscco</w:t>
                      </w:r>
                      <w:proofErr w:type="spellEnd"/>
                      <w:r w:rsidRPr="00E845CC">
                        <w:rPr>
                          <w:rFonts w:ascii="Times New Roman" w:eastAsia="Times New Roman" w:hAnsi="Times New Roman" w:cs="Times New Roman"/>
                          <w:noProof w:val="0"/>
                          <w:sz w:val="22"/>
                          <w:szCs w:val="22"/>
                          <w:lang w:val="es-PE" w:eastAsia="en-GB"/>
                        </w:rPr>
                        <w:t>, Rudy Sandra Lujan Coronel</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7BF77B77" w14:textId="0F1F5B39" w:rsidR="00E845CC" w:rsidRDefault="00E845CC">
    <w:pPr>
      <w:pStyle w:val="Encabezado"/>
    </w:pPr>
    <w:r>
      <w:drawing>
        <wp:anchor distT="0" distB="0" distL="114300" distR="114300" simplePos="0" relativeHeight="251659264" behindDoc="0" locked="0" layoutInCell="1" allowOverlap="1" wp14:anchorId="301227F7" wp14:editId="0BCE2100">
          <wp:simplePos x="0" y="0"/>
          <wp:positionH relativeFrom="column">
            <wp:posOffset>-1150473</wp:posOffset>
          </wp:positionH>
          <wp:positionV relativeFrom="paragraph">
            <wp:posOffset>-449580</wp:posOffset>
          </wp:positionV>
          <wp:extent cx="7722606" cy="773723"/>
          <wp:effectExtent l="0" t="0" r="0" b="1270"/>
          <wp:wrapNone/>
          <wp:docPr id="1" name="Rectángulo 1"/>
          <wp:cNvGraphicFramePr/>
          <a:graphic xmlns:a="http://purl.oclc.org/ooxml/drawingml/main">
            <a:graphicData uri="http://schemas.microsoft.com/office/word/2010/wordprocessingShape">
              <wp:wsp>
                <wp:cNvSpPr/>
                <wp:spPr>
                  <a:xfrm>
                    <a:off x="0" y="0"/>
                    <a:ext cx="7722606" cy="773723"/>
                  </a:xfrm>
                  <a:prstGeom prst="rect">
                    <a:avLst/>
                  </a:prstGeom>
                  <a:solidFill>
                    <a:srgbClr val="219AF0"/>
                  </a:solidFill>
                  <a:ln>
                    <a:noFill/>
                  </a:ln>
                </wp:spPr>
                <wp:style>
                  <a:lnRef idx="2">
                    <a:schemeClr val="accent1">
                      <a:shade val="50%"/>
                    </a:schemeClr>
                  </a:lnRef>
                  <a:fillRef idx="1">
                    <a:schemeClr val="accent1"/>
                  </a:fillRef>
                  <a:effectRef idx="0">
                    <a:schemeClr val="accent1"/>
                  </a:effectRef>
                  <a:fontRef idx="minor">
                    <a:schemeClr val="lt1"/>
                  </a:fontRef>
                </wp:style>
                <wp:txbx>
                  <wne:txbxContent>
                    <w:p w14:paraId="6FEE9B80" w14:textId="77777777" w:rsidR="00E845CC" w:rsidRPr="000E3118" w:rsidRDefault="00E845CC" w:rsidP="000E3118">
                      <w:pPr>
                        <w:jc w:val="center"/>
                        <w:rPr>
                          <w:rFonts w:ascii="Times New Roman" w:hAnsi="Times New Roman" w:cs="Times New Roman"/>
                          <w:b/>
                          <w:sz w:val="16"/>
                          <w:szCs w:val="16"/>
                        </w:rPr>
                      </w:pPr>
                    </w:p>
                    <w:p w14:paraId="68B63CF4" w14:textId="0EC75A13" w:rsidR="00E845CC" w:rsidRPr="00220796" w:rsidRDefault="00E845CC" w:rsidP="00E845CC">
                      <w:pPr>
                        <w:spacing w:after="8pt"/>
                        <w:ind w:end="4.35pt"/>
                        <w:jc w:val="center"/>
                        <w:rPr>
                          <w:rFonts w:ascii="Times New Roman" w:eastAsia="Calibri" w:hAnsi="Times New Roman" w:cs="Times New Roman"/>
                          <w:b/>
                          <w:bCs/>
                          <w:noProof w:val="0"/>
                          <w:sz w:val="32"/>
                          <w:szCs w:val="32"/>
                          <w:lang w:val="es-PE" w:eastAsia="pt-BR"/>
                        </w:rPr>
                      </w:pPr>
                      <w:r w:rsidRPr="00E845CC">
                        <w:rPr>
                          <w:rFonts w:ascii="Times New Roman" w:hAnsi="Times New Roman" w:cs="Times New Roman"/>
                          <w:b/>
                          <w:sz w:val="28"/>
                          <w:szCs w:val="28"/>
                        </w:rPr>
                        <w:t>Valoración del Incumplimiento de Obligaciones Comerciales en un Sector</w:t>
                      </w:r>
                      <w:r>
                        <w:rPr>
                          <w:rFonts w:ascii="Times New Roman" w:hAnsi="Times New Roman" w:cs="Times New Roman"/>
                          <w:b/>
                          <w:sz w:val="28"/>
                          <w:szCs w:val="28"/>
                        </w:rPr>
                        <w:br/>
                      </w:r>
                      <w:r w:rsidRPr="00E845CC">
                        <w:rPr>
                          <w:rFonts w:ascii="Times New Roman" w:hAnsi="Times New Roman" w:cs="Times New Roman"/>
                          <w:b/>
                          <w:sz w:val="28"/>
                          <w:szCs w:val="28"/>
                        </w:rPr>
                        <w:t>Económico Emergente</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2E9EE6F2" w14:textId="21ACD5E6" w:rsidR="00E845CC" w:rsidRDefault="00E845CC" w:rsidP="008110F0">
    <w:pPr>
      <w:pStyle w:val="Encabezado"/>
    </w:pPr>
    <w:r>
      <w:drawing>
        <wp:anchor distT="0" distB="0" distL="114300" distR="114300" simplePos="0" relativeHeight="251674624" behindDoc="0" locked="0" layoutInCell="1" allowOverlap="1" wp14:anchorId="367396E3" wp14:editId="1B446F50">
          <wp:simplePos x="0" y="0"/>
          <wp:positionH relativeFrom="column">
            <wp:posOffset>2373145</wp:posOffset>
          </wp:positionH>
          <wp:positionV relativeFrom="paragraph">
            <wp:posOffset>-374276</wp:posOffset>
          </wp:positionV>
          <wp:extent cx="4091828" cy="723900"/>
          <wp:effectExtent l="0" t="0" r="0" b="0"/>
          <wp:wrapNone/>
          <wp:docPr id="17" name="Cuadro de texto 17"/>
          <wp:cNvGraphicFramePr/>
          <a:graphic xmlns:a="http://purl.oclc.org/ooxml/drawingml/main">
            <a:graphicData uri="http://schemas.microsoft.com/office/word/2010/wordprocessingShape">
              <wp:wsp>
                <wp:cNvSpPr txBox="1"/>
                <wp:spPr>
                  <a:xfrm>
                    <a:off x="0" y="0"/>
                    <a:ext cx="4091828" cy="723900"/>
                  </a:xfrm>
                  <a:prstGeom prst="rect">
                    <a:avLst/>
                  </a:prstGeom>
                  <a:noFill/>
                  <a:ln w="6350">
                    <a:noFill/>
                  </a:ln>
                </wp:spPr>
                <wp:txbx>
                  <wne:txbxContent>
                    <w:p w14:paraId="39B3899C" w14:textId="77777777" w:rsidR="00E845CC" w:rsidRDefault="00E845CC" w:rsidP="00384F1B">
                      <w:pPr>
                        <w:jc w:val="end"/>
                        <w:rPr>
                          <w:rFonts w:ascii="Times New Roman" w:hAnsi="Times New Roman" w:cs="Times New Roman"/>
                          <w:color w:val="FFFFFF"/>
                          <w:sz w:val="20"/>
                          <w:szCs w:val="20"/>
                        </w:rPr>
                      </w:pPr>
                      <w:r w:rsidRPr="00042F1C">
                        <w:rPr>
                          <w:rFonts w:ascii="Times New Roman" w:hAnsi="Times New Roman" w:cs="Times New Roman"/>
                          <w:color w:val="FFFFFF"/>
                          <w:sz w:val="20"/>
                          <w:szCs w:val="20"/>
                        </w:rPr>
                        <w:t>Revista Hechos Contables.</w:t>
                      </w:r>
                      <w:r w:rsidRPr="0098211C">
                        <w:rPr>
                          <w:rFonts w:ascii="Times New Roman" w:hAnsi="Times New Roman" w:cs="Times New Roman"/>
                          <w:color w:val="FFFFFF"/>
                          <w:sz w:val="20"/>
                          <w:szCs w:val="20"/>
                        </w:rPr>
                        <w:t xml:space="preserve"> Revista de Investigación en </w:t>
                      </w:r>
                      <w:r>
                        <w:rPr>
                          <w:rFonts w:ascii="Times New Roman" w:hAnsi="Times New Roman" w:cs="Times New Roman"/>
                          <w:color w:val="FFFFFF"/>
                          <w:sz w:val="20"/>
                          <w:szCs w:val="20"/>
                        </w:rPr>
                        <w:t>Contabilidad</w:t>
                      </w:r>
                    </w:p>
                    <w:p w14:paraId="3B8BDFBE" w14:textId="355BF3D7" w:rsidR="00E845CC" w:rsidRPr="0098211C" w:rsidRDefault="00E845CC" w:rsidP="001E6082">
                      <w:pPr>
                        <w:jc w:val="end"/>
                        <w:rPr>
                          <w:rFonts w:ascii="Times New Roman" w:hAnsi="Times New Roman" w:cs="Times New Roman"/>
                          <w:color w:val="FFFFFF"/>
                          <w:sz w:val="20"/>
                          <w:szCs w:val="20"/>
                        </w:rPr>
                      </w:pPr>
                      <w:r w:rsidRPr="0098211C">
                        <w:rPr>
                          <w:rFonts w:ascii="Times New Roman" w:hAnsi="Times New Roman" w:cs="Times New Roman"/>
                          <w:color w:val="FFFFFF"/>
                          <w:sz w:val="20"/>
                          <w:szCs w:val="20"/>
                        </w:rPr>
                        <w:t xml:space="preserve">Vol. </w:t>
                      </w:r>
                      <w:r>
                        <w:rPr>
                          <w:rFonts w:ascii="Times New Roman" w:hAnsi="Times New Roman" w:cs="Times New Roman"/>
                          <w:color w:val="FFFFFF"/>
                          <w:sz w:val="20"/>
                          <w:szCs w:val="20"/>
                        </w:rPr>
                        <w:t>2</w:t>
                      </w:r>
                      <w:r w:rsidRPr="0098211C">
                        <w:rPr>
                          <w:rFonts w:ascii="Times New Roman" w:hAnsi="Times New Roman" w:cs="Times New Roman"/>
                          <w:color w:val="FFFFFF"/>
                          <w:sz w:val="20"/>
                          <w:szCs w:val="20"/>
                        </w:rPr>
                        <w:t xml:space="preserve"> No. </w:t>
                      </w:r>
                      <w:r>
                        <w:rPr>
                          <w:rFonts w:ascii="Times New Roman" w:hAnsi="Times New Roman" w:cs="Times New Roman"/>
                          <w:color w:val="FFFFFF"/>
                          <w:sz w:val="20"/>
                          <w:szCs w:val="20"/>
                        </w:rPr>
                        <w:t>2, pp 1</w:t>
                      </w:r>
                      <w:r w:rsidR="008A1537">
                        <w:rPr>
                          <w:rFonts w:ascii="Times New Roman" w:hAnsi="Times New Roman" w:cs="Times New Roman"/>
                          <w:color w:val="FFFFFF"/>
                          <w:sz w:val="20"/>
                          <w:szCs w:val="20"/>
                        </w:rPr>
                        <w:t>53 - 171</w:t>
                      </w:r>
                      <w:r>
                        <w:rPr>
                          <w:rFonts w:ascii="Times New Roman" w:hAnsi="Times New Roman" w:cs="Times New Roman"/>
                          <w:color w:val="FFFFFF"/>
                          <w:sz w:val="20"/>
                          <w:szCs w:val="20"/>
                        </w:rPr>
                        <w:t xml:space="preserve">  </w:t>
                      </w:r>
                      <w:r w:rsidRPr="0098211C">
                        <w:rPr>
                          <w:rFonts w:ascii="Times New Roman" w:hAnsi="Times New Roman" w:cs="Times New Roman"/>
                          <w:color w:val="FFFFFF"/>
                          <w:sz w:val="20"/>
                          <w:szCs w:val="20"/>
                        </w:rPr>
                        <w:t xml:space="preserve"> </w:t>
                      </w:r>
                    </w:p>
                    <w:p w14:paraId="0013605B" w14:textId="77777777" w:rsidR="00E845CC" w:rsidRPr="0098211C" w:rsidRDefault="00E845CC" w:rsidP="001E6082">
                      <w:pPr>
                        <w:jc w:val="end"/>
                        <w:rPr>
                          <w:rFonts w:ascii="Times New Roman" w:hAnsi="Times New Roman" w:cs="Times New Roman"/>
                          <w:color w:val="FFFFFF"/>
                          <w:sz w:val="20"/>
                          <w:szCs w:val="20"/>
                        </w:rPr>
                      </w:pPr>
                      <w:r>
                        <w:rPr>
                          <w:rFonts w:ascii="Times New Roman" w:hAnsi="Times New Roman" w:cs="Times New Roman"/>
                          <w:color w:val="FFFFFF"/>
                          <w:sz w:val="20"/>
                          <w:szCs w:val="20"/>
                        </w:rPr>
                        <w:t xml:space="preserve">Junio - Diciembre </w:t>
                      </w:r>
                      <w:r w:rsidRPr="0098211C">
                        <w:rPr>
                          <w:rFonts w:ascii="Times New Roman" w:hAnsi="Times New Roman" w:cs="Times New Roman"/>
                          <w:color w:val="FFFFFF"/>
                          <w:sz w:val="20"/>
                          <w:szCs w:val="20"/>
                        </w:rPr>
                        <w:t>202</w:t>
                      </w:r>
                      <w:r>
                        <w:rPr>
                          <w:rFonts w:ascii="Times New Roman" w:hAnsi="Times New Roman" w:cs="Times New Roman"/>
                          <w:color w:val="FFFFFF"/>
                          <w:sz w:val="20"/>
                          <w:szCs w:val="20"/>
                        </w:rPr>
                        <w:t>2</w:t>
                      </w:r>
                      <w:r w:rsidRPr="0098211C">
                        <w:rPr>
                          <w:rFonts w:ascii="Times New Roman" w:hAnsi="Times New Roman" w:cs="Times New Roman"/>
                          <w:color w:val="FFFFFF"/>
                          <w:sz w:val="20"/>
                          <w:szCs w:val="20"/>
                        </w:rPr>
                        <w:t xml:space="preserve"> </w:t>
                      </w:r>
                    </w:p>
                    <w:p w14:paraId="0F19F204" w14:textId="77777777" w:rsidR="00E845CC" w:rsidRPr="00DE2494" w:rsidRDefault="00E845CC" w:rsidP="00384F1B">
                      <w:pPr>
                        <w:jc w:val="end"/>
                        <w:rPr>
                          <w:rFonts w:ascii="Times New Roman" w:hAnsi="Times New Roman" w:cs="Times New Roman"/>
                          <w:color w:val="FFFFFF"/>
                          <w:sz w:val="20"/>
                          <w:szCs w:val="20"/>
                        </w:rPr>
                      </w:pPr>
                      <w:r w:rsidRPr="00DE2494">
                        <w:rPr>
                          <w:rFonts w:ascii="Times New Roman" w:hAnsi="Times New Roman" w:cs="Times New Roman"/>
                          <w:color w:val="FFFFFF"/>
                          <w:sz w:val="20"/>
                          <w:szCs w:val="20"/>
                        </w:rPr>
                        <w:t>ISSN: 2810-8388</w:t>
                      </w:r>
                    </w:p>
                    <w:p w14:paraId="7166380D" w14:textId="77777777" w:rsidR="00E845CC" w:rsidRPr="00DE2494" w:rsidRDefault="00E845CC" w:rsidP="00384F1B">
                      <w:pPr>
                        <w:jc w:val="end"/>
                        <w:rPr>
                          <w:rFonts w:ascii="Times New Roman" w:hAnsi="Times New Roman" w:cs="Times New Roman"/>
                          <w:color w:val="FFFFFF"/>
                          <w:sz w:val="20"/>
                          <w:szCs w:val="20"/>
                        </w:rPr>
                      </w:pPr>
                    </w:p>
                    <w:p w14:paraId="79813831" w14:textId="77777777" w:rsidR="00E845CC" w:rsidRPr="00DE2494" w:rsidRDefault="00E845CC" w:rsidP="00384F1B">
                      <w:pPr>
                        <w:jc w:val="end"/>
                        <w:rPr>
                          <w:rFonts w:ascii="Times New Roman" w:hAnsi="Times New Roman" w:cs="Times New Roman"/>
                          <w:color w:val="FFFFFF"/>
                          <w:sz w:val="20"/>
                          <w:szCs w:val="20"/>
                        </w:rPr>
                      </w:pPr>
                    </w:p>
                    <w:p w14:paraId="6D55982C" w14:textId="77777777" w:rsidR="00E845CC" w:rsidRPr="0098211C" w:rsidRDefault="00E845CC" w:rsidP="00384F1B">
                      <w:pPr>
                        <w:jc w:val="end"/>
                        <w:rPr>
                          <w:rFonts w:ascii="Times New Roman" w:hAnsi="Times New Roman" w:cs="Times New Roman"/>
                          <w:color w:val="FFFFFF"/>
                          <w:sz w:val="20"/>
                          <w:szCs w:val="20"/>
                        </w:rPr>
                      </w:pPr>
                    </w:p>
                    <w:p w14:paraId="2147F350" w14:textId="3AD5DE07" w:rsidR="00E845CC" w:rsidRPr="008110F0" w:rsidRDefault="00E845CC" w:rsidP="00B75EE6">
                      <w:pPr>
                        <w:jc w:val="end"/>
                        <w:rPr>
                          <w:rFonts w:ascii="Times New Roman" w:hAnsi="Times New Roman" w:cs="Times New Roman"/>
                          <w:color w:val="FFFFFF" w:themeColor="background1"/>
                          <w:sz w:val="20"/>
                          <w:szCs w:val="20"/>
                        </w:rPr>
                      </w:pP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r>
      <w:drawing>
        <wp:anchor distT="0" distB="0" distL="114300" distR="114300" simplePos="0" relativeHeight="251672576" behindDoc="0" locked="0" layoutInCell="1" allowOverlap="1" wp14:anchorId="210EA862" wp14:editId="4A5E829B">
          <wp:simplePos x="0" y="0"/>
          <wp:positionH relativeFrom="column">
            <wp:posOffset>-1152563</wp:posOffset>
          </wp:positionH>
          <wp:positionV relativeFrom="paragraph">
            <wp:posOffset>-449580</wp:posOffset>
          </wp:positionV>
          <wp:extent cx="7722606" cy="887095"/>
          <wp:effectExtent l="0" t="0" r="0" b="1905"/>
          <wp:wrapNone/>
          <wp:docPr id="14" name="Rectángulo 14"/>
          <wp:cNvGraphicFramePr/>
          <a:graphic xmlns:a="http://purl.oclc.org/ooxml/drawingml/main">
            <a:graphicData uri="http://schemas.microsoft.com/office/word/2010/wordprocessingShape">
              <wp:wsp>
                <wp:cNvSpPr/>
                <wp:spPr>
                  <a:xfrm>
                    <a:off x="0" y="0"/>
                    <a:ext cx="7722606" cy="887095"/>
                  </a:xfrm>
                  <a:prstGeom prst="rect">
                    <a:avLst/>
                  </a:prstGeom>
                  <a:solidFill>
                    <a:srgbClr val="219AF0"/>
                  </a:solidFill>
                  <a:ln>
                    <a:noFill/>
                  </a:ln>
                </wp:spPr>
                <wp:style>
                  <a:lnRef idx="2">
                    <a:schemeClr val="accent1">
                      <a:shade val="50%"/>
                    </a:schemeClr>
                  </a:lnRef>
                  <a:fillRef idx="1">
                    <a:schemeClr val="accent1"/>
                  </a:fillRef>
                  <a:effectRef idx="0">
                    <a:schemeClr val="accent1"/>
                  </a:effectRef>
                  <a:fontRef idx="minor">
                    <a:schemeClr val="lt1"/>
                  </a:fontRef>
                </wp:style>
                <wp:txbx>
                  <wne:txbxContent>
                    <w:p w14:paraId="2A5C7A78" w14:textId="12DFCB5A" w:rsidR="00E845CC" w:rsidRPr="009F0FFB" w:rsidRDefault="00E845CC" w:rsidP="008110F0">
                      <w:pPr>
                        <w:rPr>
                          <w:rFonts w:ascii="Times New Roman" w:eastAsia="Times New Roman" w:hAnsi="Times New Roman" w:cs="Times New Roman"/>
                          <w:noProof w:val="0"/>
                          <w:lang w:val="es-PE" w:eastAsia="es-ES_tradnl"/>
                        </w:rPr>
                      </w:pPr>
                      <w:r w:rsidRPr="00250F68">
                        <w:rPr>
                          <w:rFonts w:ascii="Times New Roman" w:eastAsia="Times New Roman" w:hAnsi="Times New Roman" w:cs="Times New Roman"/>
                          <w:noProof w:val="0"/>
                          <w:lang w:val="es-PE" w:eastAsia="es-ES_tradnl"/>
                        </w:rPr>
                        <w:fldChar w:fldCharType="begin"/>
                      </w:r>
                      <w:r>
                        <w:rPr>
                          <w:rFonts w:ascii="Times New Roman" w:eastAsia="Times New Roman" w:hAnsi="Times New Roman" w:cs="Times New Roman"/>
                          <w:noProof w:val="0"/>
                          <w:lang w:val="es-PE" w:eastAsia="es-ES_tradnl"/>
                        </w:rPr>
                        <w:instrText xml:space="preserve"> INCLUDEPICTURE "C:\\var\\folders\\wh\\8440ln4j3znbpv8vmwpmsd0m0000gn\\T\\com.microsoft.Word\\WebArchiveCopyPasteTempFiles\\journalThumbnail_es_ES.png" \* MERGEFORMAT </w:instrText>
                      </w:r>
                      <w:r w:rsidRPr="00250F68">
                        <w:rPr>
                          <w:rFonts w:ascii="Times New Roman" w:eastAsia="Times New Roman" w:hAnsi="Times New Roman" w:cs="Times New Roman"/>
                          <w:noProof w:val="0"/>
                          <w:lang w:val="es-PE" w:eastAsia="es-ES_tradnl"/>
                        </w:rPr>
                        <w:fldChar w:fldCharType="separate"/>
                      </w:r>
                      <w:r w:rsidRPr="00250F68">
                        <w:rPr>
                          <w:rFonts w:ascii="Times New Roman" w:eastAsia="Times New Roman" w:hAnsi="Times New Roman" w:cs="Times New Roman"/>
                          <w:lang w:val="es-PE" w:eastAsia="es-ES_tradnl"/>
                        </w:rPr>
                        <w:drawing>
                          <wp:inline distT="0" distB="0" distL="0" distR="0" wp14:anchorId="7AD87E9C" wp14:editId="5E7E248D">
                            <wp:extent cx="1106805" cy="782955"/>
                            <wp:effectExtent l="0" t="0" r="0" b="4445"/>
                            <wp:docPr id="38" name="Imagen 38" descr="Imagen que contiene Gráfico&#10;&#10;Descripción generada automáticament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Imagen 2" descr="Imagen que contiene Gráfic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6805" cy="782955"/>
                                    </a:xfrm>
                                    <a:prstGeom prst="rect">
                                      <a:avLst/>
                                    </a:prstGeom>
                                    <a:noFill/>
                                    <a:ln>
                                      <a:noFill/>
                                    </a:ln>
                                  </pic:spPr>
                                </pic:pic>
                              </a:graphicData>
                            </a:graphic>
                          </wp:inline>
                        </w:drawing>
                      </w:r>
                      <w:r w:rsidRPr="00250F68">
                        <w:rPr>
                          <w:rFonts w:ascii="Times New Roman" w:eastAsia="Times New Roman" w:hAnsi="Times New Roman" w:cs="Times New Roman"/>
                          <w:noProof w:val="0"/>
                          <w:lang w:val="es-PE" w:eastAsia="es-ES_tradnl"/>
                        </w:rPr>
                        <w:fldChar w:fldCharType="end"/>
                      </w:r>
                    </w:p>
                    <w:p w14:paraId="38D3080A" w14:textId="77777777" w:rsidR="00E845CC" w:rsidRDefault="00E845CC" w:rsidP="008110F0">
                      <w:pPr>
                        <w:jc w:val="center"/>
                      </w:pP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r>
      <w:drawing>
        <wp:anchor distT="0" distB="0" distL="114300" distR="114300" simplePos="0" relativeHeight="251676672" behindDoc="0" locked="0" layoutInCell="1" allowOverlap="1" wp14:anchorId="26C54755" wp14:editId="794E453E">
          <wp:simplePos x="0" y="0"/>
          <wp:positionH relativeFrom="column">
            <wp:posOffset>-29380</wp:posOffset>
          </wp:positionH>
          <wp:positionV relativeFrom="paragraph">
            <wp:posOffset>-276646</wp:posOffset>
          </wp:positionV>
          <wp:extent cx="2308225" cy="307340"/>
          <wp:effectExtent l="0" t="0" r="15875" b="10160"/>
          <wp:wrapNone/>
          <wp:docPr id="15" name="Rectángulo redondeado 15"/>
          <wp:cNvGraphicFramePr/>
          <a:graphic xmlns:a="http://purl.oclc.org/ooxml/drawingml/main">
            <a:graphicData uri="http://schemas.microsoft.com/office/word/2010/wordprocessingShape">
              <wp:wsp>
                <wp:cNvSpPr/>
                <wp:spPr>
                  <a:xfrm>
                    <a:off x="0" y="0"/>
                    <a:ext cx="2308225" cy="307340"/>
                  </a:xfrm>
                  <a:prstGeom prst="roundRect">
                    <a:avLst>
                      <a:gd name="adj" fmla="val 50000"/>
                    </a:avLst>
                  </a:prstGeom>
                  <a:noFill/>
                  <a:ln>
                    <a:solidFill>
                      <a:schemeClr val="bg1"/>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anchor>
      </w:drawing>
    </w:r>
    <w:r>
      <w:drawing>
        <wp:anchor distT="0" distB="0" distL="114300" distR="114300" simplePos="0" relativeHeight="251675648" behindDoc="0" locked="0" layoutInCell="1" allowOverlap="1" wp14:anchorId="4AC352A9" wp14:editId="5FC58372">
          <wp:simplePos x="0" y="0"/>
          <wp:positionH relativeFrom="column">
            <wp:posOffset>-21181</wp:posOffset>
          </wp:positionH>
          <wp:positionV relativeFrom="paragraph">
            <wp:posOffset>-259174</wp:posOffset>
          </wp:positionV>
          <wp:extent cx="2399168" cy="307818"/>
          <wp:effectExtent l="0" t="0" r="0" b="0"/>
          <wp:wrapNone/>
          <wp:docPr id="16" name="Cuadro de texto 16"/>
          <wp:cNvGraphicFramePr/>
          <a:graphic xmlns:a="http://purl.oclc.org/ooxml/drawingml/main">
            <a:graphicData uri="http://schemas.microsoft.com/office/word/2010/wordprocessingShape">
              <wp:wsp>
                <wp:cNvSpPr txBox="1"/>
                <wp:spPr>
                  <a:xfrm>
                    <a:off x="0" y="0"/>
                    <a:ext cx="2399168" cy="307818"/>
                  </a:xfrm>
                  <a:prstGeom prst="rect">
                    <a:avLst/>
                  </a:prstGeom>
                  <a:noFill/>
                  <a:ln w="6350">
                    <a:noFill/>
                  </a:ln>
                </wp:spPr>
                <wp:txbx>
                  <wne:txbxContent>
                    <w:p w14:paraId="2DB4A9C9" w14:textId="77777777" w:rsidR="00E845CC" w:rsidRPr="00997177" w:rsidRDefault="00E845CC" w:rsidP="008110F0">
                      <w:pPr>
                        <w:rPr>
                          <w:rFonts w:ascii="Times New Roman" w:hAnsi="Times New Roman" w:cs="Times New Roman"/>
                          <w:color w:val="FFFFFF" w:themeColor="background1"/>
                        </w:rPr>
                      </w:pPr>
                      <w:r w:rsidRPr="00997177">
                        <w:rPr>
                          <w:rFonts w:ascii="Times New Roman" w:hAnsi="Times New Roman" w:cs="Times New Roman"/>
                          <w:color w:val="FFFFFF" w:themeColor="background1"/>
                        </w:rPr>
                        <w:t>Circulo Cultural Educa e Investiga</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a:graphicData>
          </a:graphic>
          <wp14:sizeRelV relativeFrom="margin">
            <wp14:pctHeight>0%</wp14:pctHeight>
          </wp14:sizeRelV>
        </wp:anchor>
      </w:drawing>
    </w:r>
  </w:p>
  <w:p w14:paraId="4F8B2921" w14:textId="32BB19CC" w:rsidR="00E845CC" w:rsidRDefault="00E845CC">
    <w:pPr>
      <w:pStyle w:val="Encabezado"/>
    </w:pPr>
    <w:r>
      <w:drawing>
        <wp:anchor distT="0" distB="0" distL="114300" distR="114300" simplePos="0" relativeHeight="251673600" behindDoc="0" locked="0" layoutInCell="1" allowOverlap="1" wp14:anchorId="6C8CDC4E" wp14:editId="5FB45B68">
          <wp:simplePos x="0" y="0"/>
          <wp:positionH relativeFrom="column">
            <wp:posOffset>5549265</wp:posOffset>
          </wp:positionH>
          <wp:positionV relativeFrom="paragraph">
            <wp:posOffset>92417</wp:posOffset>
          </wp:positionV>
          <wp:extent cx="835660" cy="280035"/>
          <wp:effectExtent l="0" t="0" r="2540" b="0"/>
          <wp:wrapSquare wrapText="bothSides"/>
          <wp:docPr id="18" name="Imagen 18" descr="Un letrero de color blanco&#10;&#10;Descripción generada automáticamente con confianza media"/>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8" name="Imagen 18" descr="Un letrero de color blanco&#10;&#10;Descripción generada automáticamente con confianza media"/>
                  <pic:cNvPicPr/>
                </pic:nvPicPr>
                <pic:blipFill>
                  <a:blip r:embed="rId2">
                    <a:extLst>
                      <a:ext uri="{28A0092B-C50C-407E-A947-70E740481C1C}">
                        <a14:useLocalDpi xmlns:a14="http://schemas.microsoft.com/office/drawing/2010/main" val="0"/>
                      </a:ext>
                    </a:extLst>
                  </a:blip>
                  <a:stretch>
                    <a:fillRect/>
                  </a:stretch>
                </pic:blipFill>
                <pic:spPr>
                  <a:xfrm>
                    <a:off x="0" y="0"/>
                    <a:ext cx="835660" cy="2800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FFFFFFFE"/>
    <w:multiLevelType w:val="singleLevel"/>
    <w:tmpl w:val="FFFFFFFF"/>
    <w:lvl w:ilvl="0">
      <w:numFmt w:val="decimal"/>
      <w:pStyle w:val="Listaconvietas"/>
      <w:lvlText w:val="*"/>
      <w:lvlJc w:val="start"/>
    </w:lvl>
  </w:abstractNum>
  <w:abstractNum w:abstractNumId="1" w15:restartNumberingAfterBreak="0">
    <w:nsid w:val="00A447B3"/>
    <w:multiLevelType w:val="hybridMultilevel"/>
    <w:tmpl w:val="4C4EA93E"/>
    <w:lvl w:ilvl="0" w:tplc="280A000F">
      <w:start w:val="1"/>
      <w:numFmt w:val="decimal"/>
      <w:lvlText w:val="%1."/>
      <w:lvlJc w:val="start"/>
      <w:pPr>
        <w:ind w:start="18pt" w:hanging="18pt"/>
      </w:pPr>
      <w:rPr>
        <w:rFonts w:hint="default"/>
      </w:rPr>
    </w:lvl>
    <w:lvl w:ilvl="1" w:tplc="280A0019" w:tentative="1">
      <w:start w:val="1"/>
      <w:numFmt w:val="lowerLetter"/>
      <w:lvlText w:val="%2."/>
      <w:lvlJc w:val="start"/>
      <w:pPr>
        <w:ind w:start="29.45pt" w:hanging="18pt"/>
      </w:pPr>
    </w:lvl>
    <w:lvl w:ilvl="2" w:tplc="280A001B" w:tentative="1">
      <w:start w:val="1"/>
      <w:numFmt w:val="lowerRoman"/>
      <w:lvlText w:val="%3."/>
      <w:lvlJc w:val="end"/>
      <w:pPr>
        <w:ind w:start="65.45pt" w:hanging="9pt"/>
      </w:pPr>
    </w:lvl>
    <w:lvl w:ilvl="3" w:tplc="280A000F" w:tentative="1">
      <w:start w:val="1"/>
      <w:numFmt w:val="decimal"/>
      <w:lvlText w:val="%4."/>
      <w:lvlJc w:val="start"/>
      <w:pPr>
        <w:ind w:start="101.45pt" w:hanging="18pt"/>
      </w:pPr>
    </w:lvl>
    <w:lvl w:ilvl="4" w:tplc="280A0019" w:tentative="1">
      <w:start w:val="1"/>
      <w:numFmt w:val="lowerLetter"/>
      <w:lvlText w:val="%5."/>
      <w:lvlJc w:val="start"/>
      <w:pPr>
        <w:ind w:start="137.45pt" w:hanging="18pt"/>
      </w:pPr>
    </w:lvl>
    <w:lvl w:ilvl="5" w:tplc="280A001B" w:tentative="1">
      <w:start w:val="1"/>
      <w:numFmt w:val="lowerRoman"/>
      <w:lvlText w:val="%6."/>
      <w:lvlJc w:val="end"/>
      <w:pPr>
        <w:ind w:start="173.45pt" w:hanging="9pt"/>
      </w:pPr>
    </w:lvl>
    <w:lvl w:ilvl="6" w:tplc="280A000F" w:tentative="1">
      <w:start w:val="1"/>
      <w:numFmt w:val="decimal"/>
      <w:lvlText w:val="%7."/>
      <w:lvlJc w:val="start"/>
      <w:pPr>
        <w:ind w:start="209.45pt" w:hanging="18pt"/>
      </w:pPr>
    </w:lvl>
    <w:lvl w:ilvl="7" w:tplc="280A0019" w:tentative="1">
      <w:start w:val="1"/>
      <w:numFmt w:val="lowerLetter"/>
      <w:lvlText w:val="%8."/>
      <w:lvlJc w:val="start"/>
      <w:pPr>
        <w:ind w:start="245.45pt" w:hanging="18pt"/>
      </w:pPr>
    </w:lvl>
    <w:lvl w:ilvl="8" w:tplc="280A001B" w:tentative="1">
      <w:start w:val="1"/>
      <w:numFmt w:val="lowerRoman"/>
      <w:lvlText w:val="%9."/>
      <w:lvlJc w:val="end"/>
      <w:pPr>
        <w:ind w:start="281.45pt" w:hanging="9pt"/>
      </w:pPr>
    </w:lvl>
  </w:abstractNum>
  <w:abstractNum w:abstractNumId="2" w15:restartNumberingAfterBreak="0">
    <w:nsid w:val="11232280"/>
    <w:multiLevelType w:val="hybridMultilevel"/>
    <w:tmpl w:val="DB9A5B24"/>
    <w:lvl w:ilvl="0" w:tplc="0ECCF148">
      <w:start w:val="1"/>
      <w:numFmt w:val="decimal"/>
      <w:lvlText w:val="%1."/>
      <w:lvlJc w:val="start"/>
      <w:pPr>
        <w:ind w:start="54pt" w:hanging="18pt"/>
      </w:pPr>
      <w:rPr>
        <w:rFonts w:hint="default"/>
      </w:rPr>
    </w:lvl>
    <w:lvl w:ilvl="1" w:tplc="280A0019" w:tentative="1">
      <w:start w:val="1"/>
      <w:numFmt w:val="lowerLetter"/>
      <w:lvlText w:val="%2."/>
      <w:lvlJc w:val="start"/>
      <w:pPr>
        <w:ind w:start="90pt" w:hanging="18pt"/>
      </w:pPr>
    </w:lvl>
    <w:lvl w:ilvl="2" w:tplc="280A001B" w:tentative="1">
      <w:start w:val="1"/>
      <w:numFmt w:val="lowerRoman"/>
      <w:lvlText w:val="%3."/>
      <w:lvlJc w:val="end"/>
      <w:pPr>
        <w:ind w:start="126pt" w:hanging="9pt"/>
      </w:pPr>
    </w:lvl>
    <w:lvl w:ilvl="3" w:tplc="280A000F" w:tentative="1">
      <w:start w:val="1"/>
      <w:numFmt w:val="decimal"/>
      <w:lvlText w:val="%4."/>
      <w:lvlJc w:val="start"/>
      <w:pPr>
        <w:ind w:start="162pt" w:hanging="18pt"/>
      </w:pPr>
    </w:lvl>
    <w:lvl w:ilvl="4" w:tplc="280A0019" w:tentative="1">
      <w:start w:val="1"/>
      <w:numFmt w:val="lowerLetter"/>
      <w:lvlText w:val="%5."/>
      <w:lvlJc w:val="start"/>
      <w:pPr>
        <w:ind w:start="198pt" w:hanging="18pt"/>
      </w:pPr>
    </w:lvl>
    <w:lvl w:ilvl="5" w:tplc="280A001B" w:tentative="1">
      <w:start w:val="1"/>
      <w:numFmt w:val="lowerRoman"/>
      <w:lvlText w:val="%6."/>
      <w:lvlJc w:val="end"/>
      <w:pPr>
        <w:ind w:start="234pt" w:hanging="9pt"/>
      </w:pPr>
    </w:lvl>
    <w:lvl w:ilvl="6" w:tplc="280A000F" w:tentative="1">
      <w:start w:val="1"/>
      <w:numFmt w:val="decimal"/>
      <w:lvlText w:val="%7."/>
      <w:lvlJc w:val="start"/>
      <w:pPr>
        <w:ind w:start="270pt" w:hanging="18pt"/>
      </w:pPr>
    </w:lvl>
    <w:lvl w:ilvl="7" w:tplc="280A0019" w:tentative="1">
      <w:start w:val="1"/>
      <w:numFmt w:val="lowerLetter"/>
      <w:lvlText w:val="%8."/>
      <w:lvlJc w:val="start"/>
      <w:pPr>
        <w:ind w:start="306pt" w:hanging="18pt"/>
      </w:pPr>
    </w:lvl>
    <w:lvl w:ilvl="8" w:tplc="280A001B" w:tentative="1">
      <w:start w:val="1"/>
      <w:numFmt w:val="lowerRoman"/>
      <w:lvlText w:val="%9."/>
      <w:lvlJc w:val="end"/>
      <w:pPr>
        <w:ind w:start="342pt" w:hanging="9pt"/>
      </w:pPr>
    </w:lvl>
  </w:abstractNum>
  <w:abstractNum w:abstractNumId="3" w15:restartNumberingAfterBreak="0">
    <w:nsid w:val="11872D44"/>
    <w:multiLevelType w:val="hybridMultilevel"/>
    <w:tmpl w:val="95F8F7E4"/>
    <w:lvl w:ilvl="0" w:tplc="B4F23ACE">
      <w:start w:val="150"/>
      <w:numFmt w:val="bullet"/>
      <w:lvlText w:val="-"/>
      <w:lvlJc w:val="start"/>
      <w:pPr>
        <w:ind w:start="36pt" w:hanging="18pt"/>
      </w:pPr>
      <w:rPr>
        <w:rFonts w:ascii="Calibri" w:eastAsiaTheme="minorHAnsi" w:hAnsi="Calibri" w:cstheme="minorBidi" w:hint="default"/>
      </w:rPr>
    </w:lvl>
    <w:lvl w:ilvl="1" w:tplc="280A0003" w:tentative="1">
      <w:start w:val="1"/>
      <w:numFmt w:val="bullet"/>
      <w:lvlText w:val="o"/>
      <w:lvlJc w:val="start"/>
      <w:pPr>
        <w:ind w:start="72pt" w:hanging="18pt"/>
      </w:pPr>
      <w:rPr>
        <w:rFonts w:ascii="Courier New" w:hAnsi="Courier New" w:cs="Courier New" w:hint="default"/>
      </w:rPr>
    </w:lvl>
    <w:lvl w:ilvl="2" w:tplc="280A0005" w:tentative="1">
      <w:start w:val="1"/>
      <w:numFmt w:val="bullet"/>
      <w:lvlText w:val=""/>
      <w:lvlJc w:val="start"/>
      <w:pPr>
        <w:ind w:start="108pt" w:hanging="18pt"/>
      </w:pPr>
      <w:rPr>
        <w:rFonts w:ascii="Wingdings" w:hAnsi="Wingdings" w:hint="default"/>
      </w:rPr>
    </w:lvl>
    <w:lvl w:ilvl="3" w:tplc="280A0001" w:tentative="1">
      <w:start w:val="1"/>
      <w:numFmt w:val="bullet"/>
      <w:lvlText w:val=""/>
      <w:lvlJc w:val="start"/>
      <w:pPr>
        <w:ind w:start="144pt" w:hanging="18pt"/>
      </w:pPr>
      <w:rPr>
        <w:rFonts w:ascii="Symbol" w:hAnsi="Symbol" w:hint="default"/>
      </w:rPr>
    </w:lvl>
    <w:lvl w:ilvl="4" w:tplc="280A0003" w:tentative="1">
      <w:start w:val="1"/>
      <w:numFmt w:val="bullet"/>
      <w:lvlText w:val="o"/>
      <w:lvlJc w:val="start"/>
      <w:pPr>
        <w:ind w:start="180pt" w:hanging="18pt"/>
      </w:pPr>
      <w:rPr>
        <w:rFonts w:ascii="Courier New" w:hAnsi="Courier New" w:cs="Courier New" w:hint="default"/>
      </w:rPr>
    </w:lvl>
    <w:lvl w:ilvl="5" w:tplc="280A0005" w:tentative="1">
      <w:start w:val="1"/>
      <w:numFmt w:val="bullet"/>
      <w:lvlText w:val=""/>
      <w:lvlJc w:val="start"/>
      <w:pPr>
        <w:ind w:start="216pt" w:hanging="18pt"/>
      </w:pPr>
      <w:rPr>
        <w:rFonts w:ascii="Wingdings" w:hAnsi="Wingdings" w:hint="default"/>
      </w:rPr>
    </w:lvl>
    <w:lvl w:ilvl="6" w:tplc="280A0001" w:tentative="1">
      <w:start w:val="1"/>
      <w:numFmt w:val="bullet"/>
      <w:lvlText w:val=""/>
      <w:lvlJc w:val="start"/>
      <w:pPr>
        <w:ind w:start="252pt" w:hanging="18pt"/>
      </w:pPr>
      <w:rPr>
        <w:rFonts w:ascii="Symbol" w:hAnsi="Symbol" w:hint="default"/>
      </w:rPr>
    </w:lvl>
    <w:lvl w:ilvl="7" w:tplc="280A0003" w:tentative="1">
      <w:start w:val="1"/>
      <w:numFmt w:val="bullet"/>
      <w:lvlText w:val="o"/>
      <w:lvlJc w:val="start"/>
      <w:pPr>
        <w:ind w:start="288pt" w:hanging="18pt"/>
      </w:pPr>
      <w:rPr>
        <w:rFonts w:ascii="Courier New" w:hAnsi="Courier New" w:cs="Courier New" w:hint="default"/>
      </w:rPr>
    </w:lvl>
    <w:lvl w:ilvl="8" w:tplc="280A0005" w:tentative="1">
      <w:start w:val="1"/>
      <w:numFmt w:val="bullet"/>
      <w:lvlText w:val=""/>
      <w:lvlJc w:val="start"/>
      <w:pPr>
        <w:ind w:start="324pt" w:hanging="18pt"/>
      </w:pPr>
      <w:rPr>
        <w:rFonts w:ascii="Wingdings" w:hAnsi="Wingdings" w:hint="default"/>
      </w:rPr>
    </w:lvl>
  </w:abstractNum>
  <w:abstractNum w:abstractNumId="4" w15:restartNumberingAfterBreak="0">
    <w:nsid w:val="11E77F65"/>
    <w:multiLevelType w:val="hybridMultilevel"/>
    <w:tmpl w:val="18361B74"/>
    <w:lvl w:ilvl="0" w:tplc="BBA4F1D8">
      <w:start w:val="1"/>
      <w:numFmt w:val="decimal"/>
      <w:lvlText w:val="%1."/>
      <w:lvlJc w:val="start"/>
      <w:pPr>
        <w:ind w:start="30.45pt" w:hanging="18pt"/>
      </w:pPr>
      <w:rPr>
        <w:rFonts w:ascii="Arial MT" w:eastAsia="Arial MT" w:hAnsi="Arial MT" w:cs="Arial MT" w:hint="default"/>
        <w:w w:val="100%"/>
        <w:sz w:val="24"/>
        <w:szCs w:val="24"/>
        <w:lang w:val="es-ES" w:eastAsia="en-US" w:bidi="ar-SA"/>
      </w:rPr>
    </w:lvl>
    <w:lvl w:ilvl="1" w:tplc="A9B29018">
      <w:numFmt w:val="bullet"/>
      <w:lvlText w:val="•"/>
      <w:lvlJc w:val="start"/>
      <w:pPr>
        <w:ind w:start="372pt" w:hanging="18pt"/>
      </w:pPr>
      <w:rPr>
        <w:rFonts w:hint="default"/>
        <w:lang w:val="es-ES" w:eastAsia="en-US" w:bidi="ar-SA"/>
      </w:rPr>
    </w:lvl>
    <w:lvl w:ilvl="2" w:tplc="87D69E78">
      <w:numFmt w:val="bullet"/>
      <w:lvlText w:val="•"/>
      <w:lvlJc w:val="start"/>
      <w:pPr>
        <w:ind w:start="392pt" w:hanging="18pt"/>
      </w:pPr>
      <w:rPr>
        <w:rFonts w:hint="default"/>
        <w:lang w:val="es-ES" w:eastAsia="en-US" w:bidi="ar-SA"/>
      </w:rPr>
    </w:lvl>
    <w:lvl w:ilvl="3" w:tplc="CDF84CD2">
      <w:numFmt w:val="bullet"/>
      <w:lvlText w:val="•"/>
      <w:lvlJc w:val="start"/>
      <w:pPr>
        <w:ind w:start="400.65pt" w:hanging="18pt"/>
      </w:pPr>
      <w:rPr>
        <w:rFonts w:hint="default"/>
        <w:lang w:val="es-ES" w:eastAsia="en-US" w:bidi="ar-SA"/>
      </w:rPr>
    </w:lvl>
    <w:lvl w:ilvl="4" w:tplc="8F3A1A20">
      <w:numFmt w:val="bullet"/>
      <w:lvlText w:val="•"/>
      <w:lvlJc w:val="start"/>
      <w:pPr>
        <w:ind w:start="409.30pt" w:hanging="18pt"/>
      </w:pPr>
      <w:rPr>
        <w:rFonts w:hint="default"/>
        <w:lang w:val="es-ES" w:eastAsia="en-US" w:bidi="ar-SA"/>
      </w:rPr>
    </w:lvl>
    <w:lvl w:ilvl="5" w:tplc="9E42C5C2">
      <w:numFmt w:val="bullet"/>
      <w:lvlText w:val="•"/>
      <w:lvlJc w:val="start"/>
      <w:pPr>
        <w:ind w:start="417.95pt" w:hanging="18pt"/>
      </w:pPr>
      <w:rPr>
        <w:rFonts w:hint="default"/>
        <w:lang w:val="es-ES" w:eastAsia="en-US" w:bidi="ar-SA"/>
      </w:rPr>
    </w:lvl>
    <w:lvl w:ilvl="6" w:tplc="54769E62">
      <w:numFmt w:val="bullet"/>
      <w:lvlText w:val="•"/>
      <w:lvlJc w:val="start"/>
      <w:pPr>
        <w:ind w:start="426.65pt" w:hanging="18pt"/>
      </w:pPr>
      <w:rPr>
        <w:rFonts w:hint="default"/>
        <w:lang w:val="es-ES" w:eastAsia="en-US" w:bidi="ar-SA"/>
      </w:rPr>
    </w:lvl>
    <w:lvl w:ilvl="7" w:tplc="8D5C98DC">
      <w:numFmt w:val="bullet"/>
      <w:lvlText w:val="•"/>
      <w:lvlJc w:val="start"/>
      <w:pPr>
        <w:ind w:start="435.30pt" w:hanging="18pt"/>
      </w:pPr>
      <w:rPr>
        <w:rFonts w:hint="default"/>
        <w:lang w:val="es-ES" w:eastAsia="en-US" w:bidi="ar-SA"/>
      </w:rPr>
    </w:lvl>
    <w:lvl w:ilvl="8" w:tplc="DD64D5E6">
      <w:numFmt w:val="bullet"/>
      <w:lvlText w:val="•"/>
      <w:lvlJc w:val="start"/>
      <w:pPr>
        <w:ind w:start="443.95pt" w:hanging="18pt"/>
      </w:pPr>
      <w:rPr>
        <w:rFonts w:hint="default"/>
        <w:lang w:val="es-ES" w:eastAsia="en-US" w:bidi="ar-SA"/>
      </w:rPr>
    </w:lvl>
  </w:abstractNum>
  <w:abstractNum w:abstractNumId="5" w15:restartNumberingAfterBreak="0">
    <w:nsid w:val="17D3381B"/>
    <w:multiLevelType w:val="hybridMultilevel"/>
    <w:tmpl w:val="2156456C"/>
    <w:lvl w:ilvl="0" w:tplc="99CA898C">
      <w:start w:val="1"/>
      <w:numFmt w:val="decimal"/>
      <w:lvlText w:val="%1"/>
      <w:lvlJc w:val="start"/>
      <w:pPr>
        <w:ind w:start="36pt" w:hanging="18pt"/>
      </w:pPr>
      <w:rPr>
        <w:rFonts w:hint="default"/>
      </w:rPr>
    </w:lvl>
    <w:lvl w:ilvl="1" w:tplc="280A0019" w:tentative="1">
      <w:start w:val="1"/>
      <w:numFmt w:val="lowerLetter"/>
      <w:lvlText w:val="%2."/>
      <w:lvlJc w:val="start"/>
      <w:pPr>
        <w:ind w:start="72pt" w:hanging="18pt"/>
      </w:pPr>
    </w:lvl>
    <w:lvl w:ilvl="2" w:tplc="280A001B" w:tentative="1">
      <w:start w:val="1"/>
      <w:numFmt w:val="lowerRoman"/>
      <w:lvlText w:val="%3."/>
      <w:lvlJc w:val="end"/>
      <w:pPr>
        <w:ind w:start="108pt" w:hanging="9pt"/>
      </w:pPr>
    </w:lvl>
    <w:lvl w:ilvl="3" w:tplc="280A000F" w:tentative="1">
      <w:start w:val="1"/>
      <w:numFmt w:val="decimal"/>
      <w:lvlText w:val="%4."/>
      <w:lvlJc w:val="start"/>
      <w:pPr>
        <w:ind w:start="144pt" w:hanging="18pt"/>
      </w:pPr>
    </w:lvl>
    <w:lvl w:ilvl="4" w:tplc="280A0019" w:tentative="1">
      <w:start w:val="1"/>
      <w:numFmt w:val="lowerLetter"/>
      <w:lvlText w:val="%5."/>
      <w:lvlJc w:val="start"/>
      <w:pPr>
        <w:ind w:start="180pt" w:hanging="18pt"/>
      </w:pPr>
    </w:lvl>
    <w:lvl w:ilvl="5" w:tplc="280A001B" w:tentative="1">
      <w:start w:val="1"/>
      <w:numFmt w:val="lowerRoman"/>
      <w:lvlText w:val="%6."/>
      <w:lvlJc w:val="end"/>
      <w:pPr>
        <w:ind w:start="216pt" w:hanging="9pt"/>
      </w:pPr>
    </w:lvl>
    <w:lvl w:ilvl="6" w:tplc="280A000F" w:tentative="1">
      <w:start w:val="1"/>
      <w:numFmt w:val="decimal"/>
      <w:lvlText w:val="%7."/>
      <w:lvlJc w:val="start"/>
      <w:pPr>
        <w:ind w:start="252pt" w:hanging="18pt"/>
      </w:pPr>
    </w:lvl>
    <w:lvl w:ilvl="7" w:tplc="280A0019" w:tentative="1">
      <w:start w:val="1"/>
      <w:numFmt w:val="lowerLetter"/>
      <w:lvlText w:val="%8."/>
      <w:lvlJc w:val="start"/>
      <w:pPr>
        <w:ind w:start="288pt" w:hanging="18pt"/>
      </w:pPr>
    </w:lvl>
    <w:lvl w:ilvl="8" w:tplc="280A001B" w:tentative="1">
      <w:start w:val="1"/>
      <w:numFmt w:val="lowerRoman"/>
      <w:lvlText w:val="%9."/>
      <w:lvlJc w:val="end"/>
      <w:pPr>
        <w:ind w:start="324pt" w:hanging="9pt"/>
      </w:pPr>
    </w:lvl>
  </w:abstractNum>
  <w:abstractNum w:abstractNumId="6" w15:restartNumberingAfterBreak="0">
    <w:nsid w:val="1A3179C9"/>
    <w:multiLevelType w:val="hybridMultilevel"/>
    <w:tmpl w:val="E2402DC8"/>
    <w:lvl w:ilvl="0" w:tplc="3C365F0C">
      <w:start w:val="1"/>
      <w:numFmt w:val="upperRoman"/>
      <w:lvlText w:val="%1."/>
      <w:lvlJc w:val="start"/>
      <w:pPr>
        <w:ind w:start="54pt" w:hanging="36pt"/>
      </w:pPr>
      <w:rPr>
        <w:rFonts w:hint="default"/>
      </w:rPr>
    </w:lvl>
    <w:lvl w:ilvl="1" w:tplc="280A0019" w:tentative="1">
      <w:start w:val="1"/>
      <w:numFmt w:val="lowerLetter"/>
      <w:lvlText w:val="%2."/>
      <w:lvlJc w:val="start"/>
      <w:pPr>
        <w:ind w:start="72pt" w:hanging="18pt"/>
      </w:pPr>
    </w:lvl>
    <w:lvl w:ilvl="2" w:tplc="280A001B" w:tentative="1">
      <w:start w:val="1"/>
      <w:numFmt w:val="lowerRoman"/>
      <w:lvlText w:val="%3."/>
      <w:lvlJc w:val="end"/>
      <w:pPr>
        <w:ind w:start="108pt" w:hanging="9pt"/>
      </w:pPr>
    </w:lvl>
    <w:lvl w:ilvl="3" w:tplc="280A000F" w:tentative="1">
      <w:start w:val="1"/>
      <w:numFmt w:val="decimal"/>
      <w:lvlText w:val="%4."/>
      <w:lvlJc w:val="start"/>
      <w:pPr>
        <w:ind w:start="144pt" w:hanging="18pt"/>
      </w:pPr>
    </w:lvl>
    <w:lvl w:ilvl="4" w:tplc="280A0019" w:tentative="1">
      <w:start w:val="1"/>
      <w:numFmt w:val="lowerLetter"/>
      <w:lvlText w:val="%5."/>
      <w:lvlJc w:val="start"/>
      <w:pPr>
        <w:ind w:start="180pt" w:hanging="18pt"/>
      </w:pPr>
    </w:lvl>
    <w:lvl w:ilvl="5" w:tplc="280A001B" w:tentative="1">
      <w:start w:val="1"/>
      <w:numFmt w:val="lowerRoman"/>
      <w:lvlText w:val="%6."/>
      <w:lvlJc w:val="end"/>
      <w:pPr>
        <w:ind w:start="216pt" w:hanging="9pt"/>
      </w:pPr>
    </w:lvl>
    <w:lvl w:ilvl="6" w:tplc="280A000F" w:tentative="1">
      <w:start w:val="1"/>
      <w:numFmt w:val="decimal"/>
      <w:lvlText w:val="%7."/>
      <w:lvlJc w:val="start"/>
      <w:pPr>
        <w:ind w:start="252pt" w:hanging="18pt"/>
      </w:pPr>
    </w:lvl>
    <w:lvl w:ilvl="7" w:tplc="280A0019" w:tentative="1">
      <w:start w:val="1"/>
      <w:numFmt w:val="lowerLetter"/>
      <w:lvlText w:val="%8."/>
      <w:lvlJc w:val="start"/>
      <w:pPr>
        <w:ind w:start="288pt" w:hanging="18pt"/>
      </w:pPr>
    </w:lvl>
    <w:lvl w:ilvl="8" w:tplc="280A001B" w:tentative="1">
      <w:start w:val="1"/>
      <w:numFmt w:val="lowerRoman"/>
      <w:lvlText w:val="%9."/>
      <w:lvlJc w:val="end"/>
      <w:pPr>
        <w:ind w:start="324pt" w:hanging="9pt"/>
      </w:pPr>
    </w:lvl>
  </w:abstractNum>
  <w:abstractNum w:abstractNumId="7" w15:restartNumberingAfterBreak="0">
    <w:nsid w:val="26D737D3"/>
    <w:multiLevelType w:val="multilevel"/>
    <w:tmpl w:val="B68EFF86"/>
    <w:lvl w:ilvl="0">
      <w:start w:val="1"/>
      <w:numFmt w:val="decimal"/>
      <w:lvlText w:val="%1."/>
      <w:lvlJc w:val="start"/>
      <w:pPr>
        <w:ind w:start="35.40pt" w:hanging="18pt"/>
      </w:pPr>
      <w:rPr>
        <w:u w:val="none"/>
      </w:rPr>
    </w:lvl>
    <w:lvl w:ilvl="1">
      <w:start w:val="1"/>
      <w:numFmt w:val="lowerLetter"/>
      <w:lvlText w:val="%2."/>
      <w:lvlJc w:val="start"/>
      <w:pPr>
        <w:ind w:start="108pt" w:hanging="18pt"/>
      </w:pPr>
      <w:rPr>
        <w:u w:val="none"/>
      </w:rPr>
    </w:lvl>
    <w:lvl w:ilvl="2">
      <w:start w:val="1"/>
      <w:numFmt w:val="lowerRoman"/>
      <w:lvlText w:val="%3."/>
      <w:lvlJc w:val="end"/>
      <w:pPr>
        <w:ind w:start="144pt" w:hanging="18pt"/>
      </w:pPr>
      <w:rPr>
        <w:u w:val="none"/>
      </w:rPr>
    </w:lvl>
    <w:lvl w:ilvl="3">
      <w:start w:val="1"/>
      <w:numFmt w:val="decimal"/>
      <w:lvlText w:val="%4."/>
      <w:lvlJc w:val="start"/>
      <w:pPr>
        <w:ind w:start="180pt" w:hanging="18pt"/>
      </w:pPr>
      <w:rPr>
        <w:u w:val="none"/>
      </w:rPr>
    </w:lvl>
    <w:lvl w:ilvl="4">
      <w:start w:val="1"/>
      <w:numFmt w:val="lowerLetter"/>
      <w:lvlText w:val="%5."/>
      <w:lvlJc w:val="start"/>
      <w:pPr>
        <w:ind w:start="216pt" w:hanging="18pt"/>
      </w:pPr>
      <w:rPr>
        <w:u w:val="none"/>
      </w:rPr>
    </w:lvl>
    <w:lvl w:ilvl="5">
      <w:start w:val="1"/>
      <w:numFmt w:val="lowerRoman"/>
      <w:lvlText w:val="%6."/>
      <w:lvlJc w:val="end"/>
      <w:pPr>
        <w:ind w:start="252pt" w:hanging="18pt"/>
      </w:pPr>
      <w:rPr>
        <w:u w:val="none"/>
      </w:rPr>
    </w:lvl>
    <w:lvl w:ilvl="6">
      <w:start w:val="1"/>
      <w:numFmt w:val="decimal"/>
      <w:lvlText w:val="%7."/>
      <w:lvlJc w:val="start"/>
      <w:pPr>
        <w:ind w:start="288pt" w:hanging="18pt"/>
      </w:pPr>
      <w:rPr>
        <w:u w:val="none"/>
      </w:rPr>
    </w:lvl>
    <w:lvl w:ilvl="7">
      <w:start w:val="1"/>
      <w:numFmt w:val="lowerLetter"/>
      <w:lvlText w:val="%8."/>
      <w:lvlJc w:val="start"/>
      <w:pPr>
        <w:ind w:start="324pt" w:hanging="18pt"/>
      </w:pPr>
      <w:rPr>
        <w:u w:val="none"/>
      </w:rPr>
    </w:lvl>
    <w:lvl w:ilvl="8">
      <w:start w:val="1"/>
      <w:numFmt w:val="lowerRoman"/>
      <w:lvlText w:val="%9."/>
      <w:lvlJc w:val="end"/>
      <w:pPr>
        <w:ind w:start="360pt" w:hanging="18pt"/>
      </w:pPr>
      <w:rPr>
        <w:u w:val="none"/>
      </w:rPr>
    </w:lvl>
  </w:abstractNum>
  <w:abstractNum w:abstractNumId="8" w15:restartNumberingAfterBreak="0">
    <w:nsid w:val="28021767"/>
    <w:multiLevelType w:val="multilevel"/>
    <w:tmpl w:val="6630C18E"/>
    <w:lvl w:ilvl="0">
      <w:start w:val="1"/>
      <w:numFmt w:val="upperRoman"/>
      <w:lvlText w:val="%1."/>
      <w:lvlJc w:val="end"/>
      <w:pPr>
        <w:ind w:start="72pt" w:hanging="18pt"/>
      </w:pPr>
    </w:lvl>
    <w:lvl w:ilvl="1">
      <w:start w:val="2"/>
      <w:numFmt w:val="decimal"/>
      <w:isLgl/>
      <w:lvlText w:val="%1.%2."/>
      <w:lvlJc w:val="start"/>
      <w:pPr>
        <w:ind w:start="90pt" w:hanging="36pt"/>
      </w:pPr>
      <w:rPr>
        <w:rFonts w:hint="default"/>
      </w:rPr>
    </w:lvl>
    <w:lvl w:ilvl="2">
      <w:start w:val="1"/>
      <w:numFmt w:val="decimal"/>
      <w:isLgl/>
      <w:lvlText w:val="%1.%2.%3."/>
      <w:lvlJc w:val="start"/>
      <w:pPr>
        <w:ind w:start="90pt" w:hanging="36pt"/>
      </w:pPr>
      <w:rPr>
        <w:rFonts w:hint="default"/>
      </w:rPr>
    </w:lvl>
    <w:lvl w:ilvl="3">
      <w:start w:val="1"/>
      <w:numFmt w:val="decimal"/>
      <w:isLgl/>
      <w:lvlText w:val="%1.%2.%3.%4."/>
      <w:lvlJc w:val="start"/>
      <w:pPr>
        <w:ind w:start="108pt" w:hanging="54pt"/>
      </w:pPr>
      <w:rPr>
        <w:rFonts w:hint="default"/>
      </w:rPr>
    </w:lvl>
    <w:lvl w:ilvl="4">
      <w:start w:val="1"/>
      <w:numFmt w:val="decimal"/>
      <w:isLgl/>
      <w:lvlText w:val="%1.%2.%3.%4.%5."/>
      <w:lvlJc w:val="start"/>
      <w:pPr>
        <w:ind w:start="108pt" w:hanging="54pt"/>
      </w:pPr>
      <w:rPr>
        <w:rFonts w:hint="default"/>
      </w:rPr>
    </w:lvl>
    <w:lvl w:ilvl="5">
      <w:start w:val="1"/>
      <w:numFmt w:val="decimal"/>
      <w:isLgl/>
      <w:lvlText w:val="%1.%2.%3.%4.%5.%6."/>
      <w:lvlJc w:val="start"/>
      <w:pPr>
        <w:ind w:start="126pt" w:hanging="72pt"/>
      </w:pPr>
      <w:rPr>
        <w:rFonts w:hint="default"/>
      </w:rPr>
    </w:lvl>
    <w:lvl w:ilvl="6">
      <w:start w:val="1"/>
      <w:numFmt w:val="decimal"/>
      <w:isLgl/>
      <w:lvlText w:val="%1.%2.%3.%4.%5.%6.%7."/>
      <w:lvlJc w:val="start"/>
      <w:pPr>
        <w:ind w:start="126pt" w:hanging="72pt"/>
      </w:pPr>
      <w:rPr>
        <w:rFonts w:hint="default"/>
      </w:rPr>
    </w:lvl>
    <w:lvl w:ilvl="7">
      <w:start w:val="1"/>
      <w:numFmt w:val="decimal"/>
      <w:isLgl/>
      <w:lvlText w:val="%1.%2.%3.%4.%5.%6.%7.%8."/>
      <w:lvlJc w:val="start"/>
      <w:pPr>
        <w:ind w:start="144pt" w:hanging="90pt"/>
      </w:pPr>
      <w:rPr>
        <w:rFonts w:hint="default"/>
      </w:rPr>
    </w:lvl>
    <w:lvl w:ilvl="8">
      <w:start w:val="1"/>
      <w:numFmt w:val="decimal"/>
      <w:isLgl/>
      <w:lvlText w:val="%1.%2.%3.%4.%5.%6.%7.%8.%9."/>
      <w:lvlJc w:val="start"/>
      <w:pPr>
        <w:ind w:start="162pt" w:hanging="108pt"/>
      </w:pPr>
      <w:rPr>
        <w:rFonts w:hint="default"/>
      </w:rPr>
    </w:lvl>
  </w:abstractNum>
  <w:abstractNum w:abstractNumId="9" w15:restartNumberingAfterBreak="0">
    <w:nsid w:val="280636EE"/>
    <w:multiLevelType w:val="hybridMultilevel"/>
    <w:tmpl w:val="37E8492A"/>
    <w:lvl w:ilvl="0" w:tplc="27FC5718">
      <w:start w:val="1"/>
      <w:numFmt w:val="decimal"/>
      <w:lvlText w:val="3.%1. "/>
      <w:lvlJc w:val="start"/>
      <w:pPr>
        <w:ind w:start="72pt" w:hanging="18pt"/>
      </w:pPr>
      <w:rPr>
        <w:rFonts w:hint="default"/>
        <w:color w:val="000000" w:themeColor="text1"/>
      </w:rPr>
    </w:lvl>
    <w:lvl w:ilvl="1" w:tplc="280A0019" w:tentative="1">
      <w:start w:val="1"/>
      <w:numFmt w:val="lowerLetter"/>
      <w:lvlText w:val="%2."/>
      <w:lvlJc w:val="start"/>
      <w:pPr>
        <w:ind w:start="108pt" w:hanging="18pt"/>
      </w:pPr>
    </w:lvl>
    <w:lvl w:ilvl="2" w:tplc="280A001B" w:tentative="1">
      <w:start w:val="1"/>
      <w:numFmt w:val="lowerRoman"/>
      <w:lvlText w:val="%3."/>
      <w:lvlJc w:val="end"/>
      <w:pPr>
        <w:ind w:start="144pt" w:hanging="9pt"/>
      </w:pPr>
    </w:lvl>
    <w:lvl w:ilvl="3" w:tplc="280A000F" w:tentative="1">
      <w:start w:val="1"/>
      <w:numFmt w:val="decimal"/>
      <w:lvlText w:val="%4."/>
      <w:lvlJc w:val="start"/>
      <w:pPr>
        <w:ind w:start="180pt" w:hanging="18pt"/>
      </w:pPr>
    </w:lvl>
    <w:lvl w:ilvl="4" w:tplc="280A0019" w:tentative="1">
      <w:start w:val="1"/>
      <w:numFmt w:val="lowerLetter"/>
      <w:lvlText w:val="%5."/>
      <w:lvlJc w:val="start"/>
      <w:pPr>
        <w:ind w:start="216pt" w:hanging="18pt"/>
      </w:pPr>
    </w:lvl>
    <w:lvl w:ilvl="5" w:tplc="280A001B" w:tentative="1">
      <w:start w:val="1"/>
      <w:numFmt w:val="lowerRoman"/>
      <w:lvlText w:val="%6."/>
      <w:lvlJc w:val="end"/>
      <w:pPr>
        <w:ind w:start="252pt" w:hanging="9pt"/>
      </w:pPr>
    </w:lvl>
    <w:lvl w:ilvl="6" w:tplc="280A000F" w:tentative="1">
      <w:start w:val="1"/>
      <w:numFmt w:val="decimal"/>
      <w:lvlText w:val="%7."/>
      <w:lvlJc w:val="start"/>
      <w:pPr>
        <w:ind w:start="288pt" w:hanging="18pt"/>
      </w:pPr>
    </w:lvl>
    <w:lvl w:ilvl="7" w:tplc="280A0019" w:tentative="1">
      <w:start w:val="1"/>
      <w:numFmt w:val="lowerLetter"/>
      <w:lvlText w:val="%8."/>
      <w:lvlJc w:val="start"/>
      <w:pPr>
        <w:ind w:start="324pt" w:hanging="18pt"/>
      </w:pPr>
    </w:lvl>
    <w:lvl w:ilvl="8" w:tplc="280A001B" w:tentative="1">
      <w:start w:val="1"/>
      <w:numFmt w:val="lowerRoman"/>
      <w:lvlText w:val="%9."/>
      <w:lvlJc w:val="end"/>
      <w:pPr>
        <w:ind w:start="360pt" w:hanging="9pt"/>
      </w:pPr>
    </w:lvl>
  </w:abstractNum>
  <w:abstractNum w:abstractNumId="10" w15:restartNumberingAfterBreak="0">
    <w:nsid w:val="2927031E"/>
    <w:multiLevelType w:val="hybridMultilevel"/>
    <w:tmpl w:val="9DE49A76"/>
    <w:lvl w:ilvl="0" w:tplc="485A3C2A">
      <w:start w:val="1"/>
      <w:numFmt w:val="decimal"/>
      <w:lvlText w:val="%1."/>
      <w:lvlJc w:val="start"/>
      <w:pPr>
        <w:ind w:start="25.25pt" w:hanging="8.65pt"/>
        <w:jc w:val="end"/>
      </w:pPr>
      <w:rPr>
        <w:rFonts w:ascii="Arial MT" w:eastAsia="Arial MT" w:hAnsi="Arial MT" w:cs="Arial MT" w:hint="default"/>
        <w:spacing w:val="-4"/>
        <w:w w:val="64%"/>
        <w:sz w:val="25"/>
        <w:szCs w:val="25"/>
        <w:lang w:val="es-ES" w:eastAsia="en-US" w:bidi="ar-SA"/>
      </w:rPr>
    </w:lvl>
    <w:lvl w:ilvl="1" w:tplc="64906266">
      <w:numFmt w:val="bullet"/>
      <w:lvlText w:val="•"/>
      <w:lvlJc w:val="start"/>
      <w:pPr>
        <w:ind w:start="28.95pt" w:hanging="8.65pt"/>
      </w:pPr>
      <w:rPr>
        <w:rFonts w:hint="default"/>
        <w:lang w:val="es-ES" w:eastAsia="en-US" w:bidi="ar-SA"/>
      </w:rPr>
    </w:lvl>
    <w:lvl w:ilvl="2" w:tplc="5C76A650">
      <w:numFmt w:val="bullet"/>
      <w:lvlText w:val="•"/>
      <w:lvlJc w:val="start"/>
      <w:pPr>
        <w:ind w:start="32.90pt" w:hanging="8.65pt"/>
      </w:pPr>
      <w:rPr>
        <w:rFonts w:hint="default"/>
        <w:lang w:val="es-ES" w:eastAsia="en-US" w:bidi="ar-SA"/>
      </w:rPr>
    </w:lvl>
    <w:lvl w:ilvl="3" w:tplc="CD5CEBA8">
      <w:numFmt w:val="bullet"/>
      <w:lvlText w:val="•"/>
      <w:lvlJc w:val="start"/>
      <w:pPr>
        <w:ind w:start="36.85pt" w:hanging="8.65pt"/>
      </w:pPr>
      <w:rPr>
        <w:rFonts w:hint="default"/>
        <w:lang w:val="es-ES" w:eastAsia="en-US" w:bidi="ar-SA"/>
      </w:rPr>
    </w:lvl>
    <w:lvl w:ilvl="4" w:tplc="532ACD5A">
      <w:numFmt w:val="bullet"/>
      <w:lvlText w:val="•"/>
      <w:lvlJc w:val="start"/>
      <w:pPr>
        <w:ind w:start="40.80pt" w:hanging="8.65pt"/>
      </w:pPr>
      <w:rPr>
        <w:rFonts w:hint="default"/>
        <w:lang w:val="es-ES" w:eastAsia="en-US" w:bidi="ar-SA"/>
      </w:rPr>
    </w:lvl>
    <w:lvl w:ilvl="5" w:tplc="AAAC053C">
      <w:numFmt w:val="bullet"/>
      <w:lvlText w:val="•"/>
      <w:lvlJc w:val="start"/>
      <w:pPr>
        <w:ind w:start="44.75pt" w:hanging="8.65pt"/>
      </w:pPr>
      <w:rPr>
        <w:rFonts w:hint="default"/>
        <w:lang w:val="es-ES" w:eastAsia="en-US" w:bidi="ar-SA"/>
      </w:rPr>
    </w:lvl>
    <w:lvl w:ilvl="6" w:tplc="16E6D47C">
      <w:numFmt w:val="bullet"/>
      <w:lvlText w:val="•"/>
      <w:lvlJc w:val="start"/>
      <w:pPr>
        <w:ind w:start="48.70pt" w:hanging="8.65pt"/>
      </w:pPr>
      <w:rPr>
        <w:rFonts w:hint="default"/>
        <w:lang w:val="es-ES" w:eastAsia="en-US" w:bidi="ar-SA"/>
      </w:rPr>
    </w:lvl>
    <w:lvl w:ilvl="7" w:tplc="258A9EB4">
      <w:numFmt w:val="bullet"/>
      <w:lvlText w:val="•"/>
      <w:lvlJc w:val="start"/>
      <w:pPr>
        <w:ind w:start="52.65pt" w:hanging="8.65pt"/>
      </w:pPr>
      <w:rPr>
        <w:rFonts w:hint="default"/>
        <w:lang w:val="es-ES" w:eastAsia="en-US" w:bidi="ar-SA"/>
      </w:rPr>
    </w:lvl>
    <w:lvl w:ilvl="8" w:tplc="E59C21F6">
      <w:numFmt w:val="bullet"/>
      <w:lvlText w:val="•"/>
      <w:lvlJc w:val="start"/>
      <w:pPr>
        <w:ind w:start="56.60pt" w:hanging="8.65pt"/>
      </w:pPr>
      <w:rPr>
        <w:rFonts w:hint="default"/>
        <w:lang w:val="es-ES" w:eastAsia="en-US" w:bidi="ar-SA"/>
      </w:rPr>
    </w:lvl>
  </w:abstractNum>
  <w:abstractNum w:abstractNumId="11" w15:restartNumberingAfterBreak="0">
    <w:nsid w:val="2C5D35F0"/>
    <w:multiLevelType w:val="hybridMultilevel"/>
    <w:tmpl w:val="8054BAFA"/>
    <w:lvl w:ilvl="0" w:tplc="0364935A">
      <w:start w:val="1"/>
      <w:numFmt w:val="upperRoman"/>
      <w:lvlText w:val="%1."/>
      <w:lvlJc w:val="start"/>
      <w:pPr>
        <w:ind w:start="227.40pt" w:hanging="36pt"/>
      </w:pPr>
      <w:rPr>
        <w:rFonts w:hint="default"/>
      </w:rPr>
    </w:lvl>
    <w:lvl w:ilvl="1" w:tplc="280A0019" w:tentative="1">
      <w:start w:val="1"/>
      <w:numFmt w:val="lowerLetter"/>
      <w:lvlText w:val="%2."/>
      <w:lvlJc w:val="start"/>
      <w:pPr>
        <w:ind w:start="245.40pt" w:hanging="18pt"/>
      </w:pPr>
    </w:lvl>
    <w:lvl w:ilvl="2" w:tplc="280A001B" w:tentative="1">
      <w:start w:val="1"/>
      <w:numFmt w:val="lowerRoman"/>
      <w:lvlText w:val="%3."/>
      <w:lvlJc w:val="end"/>
      <w:pPr>
        <w:ind w:start="281.40pt" w:hanging="9pt"/>
      </w:pPr>
    </w:lvl>
    <w:lvl w:ilvl="3" w:tplc="280A000F" w:tentative="1">
      <w:start w:val="1"/>
      <w:numFmt w:val="decimal"/>
      <w:lvlText w:val="%4."/>
      <w:lvlJc w:val="start"/>
      <w:pPr>
        <w:ind w:start="317.40pt" w:hanging="18pt"/>
      </w:pPr>
    </w:lvl>
    <w:lvl w:ilvl="4" w:tplc="280A0019" w:tentative="1">
      <w:start w:val="1"/>
      <w:numFmt w:val="lowerLetter"/>
      <w:lvlText w:val="%5."/>
      <w:lvlJc w:val="start"/>
      <w:pPr>
        <w:ind w:start="353.40pt" w:hanging="18pt"/>
      </w:pPr>
    </w:lvl>
    <w:lvl w:ilvl="5" w:tplc="280A001B" w:tentative="1">
      <w:start w:val="1"/>
      <w:numFmt w:val="lowerRoman"/>
      <w:lvlText w:val="%6."/>
      <w:lvlJc w:val="end"/>
      <w:pPr>
        <w:ind w:start="389.40pt" w:hanging="9pt"/>
      </w:pPr>
    </w:lvl>
    <w:lvl w:ilvl="6" w:tplc="280A000F" w:tentative="1">
      <w:start w:val="1"/>
      <w:numFmt w:val="decimal"/>
      <w:lvlText w:val="%7."/>
      <w:lvlJc w:val="start"/>
      <w:pPr>
        <w:ind w:start="425.40pt" w:hanging="18pt"/>
      </w:pPr>
    </w:lvl>
    <w:lvl w:ilvl="7" w:tplc="280A0019" w:tentative="1">
      <w:start w:val="1"/>
      <w:numFmt w:val="lowerLetter"/>
      <w:lvlText w:val="%8."/>
      <w:lvlJc w:val="start"/>
      <w:pPr>
        <w:ind w:start="461.40pt" w:hanging="18pt"/>
      </w:pPr>
    </w:lvl>
    <w:lvl w:ilvl="8" w:tplc="280A001B" w:tentative="1">
      <w:start w:val="1"/>
      <w:numFmt w:val="lowerRoman"/>
      <w:lvlText w:val="%9."/>
      <w:lvlJc w:val="end"/>
      <w:pPr>
        <w:ind w:start="497.40pt" w:hanging="9pt"/>
      </w:pPr>
    </w:lvl>
  </w:abstractNum>
  <w:abstractNum w:abstractNumId="12" w15:restartNumberingAfterBreak="0">
    <w:nsid w:val="2EEB1E12"/>
    <w:multiLevelType w:val="hybridMultilevel"/>
    <w:tmpl w:val="B916F4CA"/>
    <w:lvl w:ilvl="0" w:tplc="49862288">
      <w:start w:val="1"/>
      <w:numFmt w:val="upperRoman"/>
      <w:lvlText w:val="%1."/>
      <w:lvlJc w:val="start"/>
      <w:pPr>
        <w:ind w:start="189.15pt" w:hanging="14.20pt"/>
        <w:jc w:val="end"/>
      </w:pPr>
      <w:rPr>
        <w:rFonts w:ascii="Arial" w:eastAsia="Arial" w:hAnsi="Arial" w:cs="Arial" w:hint="default"/>
        <w:b/>
        <w:bCs/>
        <w:w w:val="100%"/>
        <w:sz w:val="24"/>
        <w:szCs w:val="24"/>
        <w:lang w:val="es-ES" w:eastAsia="en-US" w:bidi="ar-SA"/>
      </w:rPr>
    </w:lvl>
    <w:lvl w:ilvl="1" w:tplc="280A0019" w:tentative="1">
      <w:start w:val="1"/>
      <w:numFmt w:val="lowerLetter"/>
      <w:lvlText w:val="%2."/>
      <w:lvlJc w:val="start"/>
      <w:pPr>
        <w:ind w:start="72pt" w:hanging="18pt"/>
      </w:pPr>
    </w:lvl>
    <w:lvl w:ilvl="2" w:tplc="280A001B" w:tentative="1">
      <w:start w:val="1"/>
      <w:numFmt w:val="lowerRoman"/>
      <w:lvlText w:val="%3."/>
      <w:lvlJc w:val="end"/>
      <w:pPr>
        <w:ind w:start="108pt" w:hanging="9pt"/>
      </w:pPr>
    </w:lvl>
    <w:lvl w:ilvl="3" w:tplc="280A000F" w:tentative="1">
      <w:start w:val="1"/>
      <w:numFmt w:val="decimal"/>
      <w:lvlText w:val="%4."/>
      <w:lvlJc w:val="start"/>
      <w:pPr>
        <w:ind w:start="144pt" w:hanging="18pt"/>
      </w:pPr>
    </w:lvl>
    <w:lvl w:ilvl="4" w:tplc="280A0019" w:tentative="1">
      <w:start w:val="1"/>
      <w:numFmt w:val="lowerLetter"/>
      <w:lvlText w:val="%5."/>
      <w:lvlJc w:val="start"/>
      <w:pPr>
        <w:ind w:start="180pt" w:hanging="18pt"/>
      </w:pPr>
    </w:lvl>
    <w:lvl w:ilvl="5" w:tplc="280A001B" w:tentative="1">
      <w:start w:val="1"/>
      <w:numFmt w:val="lowerRoman"/>
      <w:lvlText w:val="%6."/>
      <w:lvlJc w:val="end"/>
      <w:pPr>
        <w:ind w:start="216pt" w:hanging="9pt"/>
      </w:pPr>
    </w:lvl>
    <w:lvl w:ilvl="6" w:tplc="280A000F" w:tentative="1">
      <w:start w:val="1"/>
      <w:numFmt w:val="decimal"/>
      <w:lvlText w:val="%7."/>
      <w:lvlJc w:val="start"/>
      <w:pPr>
        <w:ind w:start="252pt" w:hanging="18pt"/>
      </w:pPr>
    </w:lvl>
    <w:lvl w:ilvl="7" w:tplc="280A0019" w:tentative="1">
      <w:start w:val="1"/>
      <w:numFmt w:val="lowerLetter"/>
      <w:lvlText w:val="%8."/>
      <w:lvlJc w:val="start"/>
      <w:pPr>
        <w:ind w:start="288pt" w:hanging="18pt"/>
      </w:pPr>
    </w:lvl>
    <w:lvl w:ilvl="8" w:tplc="280A001B" w:tentative="1">
      <w:start w:val="1"/>
      <w:numFmt w:val="lowerRoman"/>
      <w:lvlText w:val="%9."/>
      <w:lvlJc w:val="end"/>
      <w:pPr>
        <w:ind w:start="324pt" w:hanging="9pt"/>
      </w:pPr>
    </w:lvl>
  </w:abstractNum>
  <w:abstractNum w:abstractNumId="13" w15:restartNumberingAfterBreak="0">
    <w:nsid w:val="30031C37"/>
    <w:multiLevelType w:val="hybridMultilevel"/>
    <w:tmpl w:val="65A609BC"/>
    <w:lvl w:ilvl="0" w:tplc="280A0001">
      <w:start w:val="1"/>
      <w:numFmt w:val="bullet"/>
      <w:lvlText w:val=""/>
      <w:lvlJc w:val="start"/>
      <w:pPr>
        <w:ind w:start="36pt" w:hanging="18pt"/>
      </w:pPr>
      <w:rPr>
        <w:rFonts w:ascii="Symbol" w:hAnsi="Symbol" w:hint="default"/>
      </w:rPr>
    </w:lvl>
    <w:lvl w:ilvl="1" w:tplc="280A0003" w:tentative="1">
      <w:start w:val="1"/>
      <w:numFmt w:val="bullet"/>
      <w:lvlText w:val="o"/>
      <w:lvlJc w:val="start"/>
      <w:pPr>
        <w:ind w:start="72pt" w:hanging="18pt"/>
      </w:pPr>
      <w:rPr>
        <w:rFonts w:ascii="Courier New" w:hAnsi="Courier New" w:cs="Courier New" w:hint="default"/>
      </w:rPr>
    </w:lvl>
    <w:lvl w:ilvl="2" w:tplc="280A0005" w:tentative="1">
      <w:start w:val="1"/>
      <w:numFmt w:val="bullet"/>
      <w:lvlText w:val=""/>
      <w:lvlJc w:val="start"/>
      <w:pPr>
        <w:ind w:start="108pt" w:hanging="18pt"/>
      </w:pPr>
      <w:rPr>
        <w:rFonts w:ascii="Wingdings" w:hAnsi="Wingdings" w:hint="default"/>
      </w:rPr>
    </w:lvl>
    <w:lvl w:ilvl="3" w:tplc="280A0001" w:tentative="1">
      <w:start w:val="1"/>
      <w:numFmt w:val="bullet"/>
      <w:lvlText w:val=""/>
      <w:lvlJc w:val="start"/>
      <w:pPr>
        <w:ind w:start="144pt" w:hanging="18pt"/>
      </w:pPr>
      <w:rPr>
        <w:rFonts w:ascii="Symbol" w:hAnsi="Symbol" w:hint="default"/>
      </w:rPr>
    </w:lvl>
    <w:lvl w:ilvl="4" w:tplc="280A0003" w:tentative="1">
      <w:start w:val="1"/>
      <w:numFmt w:val="bullet"/>
      <w:lvlText w:val="o"/>
      <w:lvlJc w:val="start"/>
      <w:pPr>
        <w:ind w:start="180pt" w:hanging="18pt"/>
      </w:pPr>
      <w:rPr>
        <w:rFonts w:ascii="Courier New" w:hAnsi="Courier New" w:cs="Courier New" w:hint="default"/>
      </w:rPr>
    </w:lvl>
    <w:lvl w:ilvl="5" w:tplc="280A0005" w:tentative="1">
      <w:start w:val="1"/>
      <w:numFmt w:val="bullet"/>
      <w:lvlText w:val=""/>
      <w:lvlJc w:val="start"/>
      <w:pPr>
        <w:ind w:start="216pt" w:hanging="18pt"/>
      </w:pPr>
      <w:rPr>
        <w:rFonts w:ascii="Wingdings" w:hAnsi="Wingdings" w:hint="default"/>
      </w:rPr>
    </w:lvl>
    <w:lvl w:ilvl="6" w:tplc="280A0001" w:tentative="1">
      <w:start w:val="1"/>
      <w:numFmt w:val="bullet"/>
      <w:lvlText w:val=""/>
      <w:lvlJc w:val="start"/>
      <w:pPr>
        <w:ind w:start="252pt" w:hanging="18pt"/>
      </w:pPr>
      <w:rPr>
        <w:rFonts w:ascii="Symbol" w:hAnsi="Symbol" w:hint="default"/>
      </w:rPr>
    </w:lvl>
    <w:lvl w:ilvl="7" w:tplc="280A0003" w:tentative="1">
      <w:start w:val="1"/>
      <w:numFmt w:val="bullet"/>
      <w:lvlText w:val="o"/>
      <w:lvlJc w:val="start"/>
      <w:pPr>
        <w:ind w:start="288pt" w:hanging="18pt"/>
      </w:pPr>
      <w:rPr>
        <w:rFonts w:ascii="Courier New" w:hAnsi="Courier New" w:cs="Courier New" w:hint="default"/>
      </w:rPr>
    </w:lvl>
    <w:lvl w:ilvl="8" w:tplc="280A0005" w:tentative="1">
      <w:start w:val="1"/>
      <w:numFmt w:val="bullet"/>
      <w:lvlText w:val=""/>
      <w:lvlJc w:val="start"/>
      <w:pPr>
        <w:ind w:start="324pt" w:hanging="18pt"/>
      </w:pPr>
      <w:rPr>
        <w:rFonts w:ascii="Wingdings" w:hAnsi="Wingdings" w:hint="default"/>
      </w:rPr>
    </w:lvl>
  </w:abstractNum>
  <w:abstractNum w:abstractNumId="14" w15:restartNumberingAfterBreak="0">
    <w:nsid w:val="34030BCE"/>
    <w:multiLevelType w:val="multilevel"/>
    <w:tmpl w:val="4296F5EE"/>
    <w:lvl w:ilvl="0">
      <w:start w:val="1"/>
      <w:numFmt w:val="decimal"/>
      <w:lvlText w:val="%1."/>
      <w:lvlJc w:val="start"/>
      <w:pPr>
        <w:ind w:start="36pt" w:hanging="18pt"/>
      </w:pPr>
      <w:rPr>
        <w:rFonts w:hint="default"/>
      </w:rPr>
    </w:lvl>
    <w:lvl w:ilvl="1">
      <w:start w:val="3"/>
      <w:numFmt w:val="decimal"/>
      <w:isLgl/>
      <w:lvlText w:val="%1.%2."/>
      <w:lvlJc w:val="start"/>
      <w:pPr>
        <w:ind w:start="54.75pt" w:hanging="27.75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81pt" w:hanging="36pt"/>
      </w:pPr>
      <w:rPr>
        <w:rFonts w:hint="default"/>
      </w:rPr>
    </w:lvl>
    <w:lvl w:ilvl="4">
      <w:start w:val="1"/>
      <w:numFmt w:val="decimal"/>
      <w:isLgl/>
      <w:lvlText w:val="%1.%2.%3.%4.%5."/>
      <w:lvlJc w:val="start"/>
      <w:pPr>
        <w:ind w:start="108pt" w:hanging="54pt"/>
      </w:pPr>
      <w:rPr>
        <w:rFonts w:hint="default"/>
      </w:rPr>
    </w:lvl>
    <w:lvl w:ilvl="5">
      <w:start w:val="1"/>
      <w:numFmt w:val="decimal"/>
      <w:isLgl/>
      <w:lvlText w:val="%1.%2.%3.%4.%5.%6."/>
      <w:lvlJc w:val="start"/>
      <w:pPr>
        <w:ind w:start="117pt" w:hanging="54pt"/>
      </w:pPr>
      <w:rPr>
        <w:rFonts w:hint="default"/>
      </w:rPr>
    </w:lvl>
    <w:lvl w:ilvl="6">
      <w:start w:val="1"/>
      <w:numFmt w:val="decimal"/>
      <w:isLgl/>
      <w:lvlText w:val="%1.%2.%3.%4.%5.%6.%7."/>
      <w:lvlJc w:val="start"/>
      <w:pPr>
        <w:ind w:start="144pt" w:hanging="72pt"/>
      </w:pPr>
      <w:rPr>
        <w:rFonts w:hint="default"/>
      </w:rPr>
    </w:lvl>
    <w:lvl w:ilvl="7">
      <w:start w:val="1"/>
      <w:numFmt w:val="decimal"/>
      <w:isLgl/>
      <w:lvlText w:val="%1.%2.%3.%4.%5.%6.%7.%8."/>
      <w:lvlJc w:val="start"/>
      <w:pPr>
        <w:ind w:start="153pt" w:hanging="72pt"/>
      </w:pPr>
      <w:rPr>
        <w:rFonts w:hint="default"/>
      </w:rPr>
    </w:lvl>
    <w:lvl w:ilvl="8">
      <w:start w:val="1"/>
      <w:numFmt w:val="decimal"/>
      <w:isLgl/>
      <w:lvlText w:val="%1.%2.%3.%4.%5.%6.%7.%8.%9."/>
      <w:lvlJc w:val="start"/>
      <w:pPr>
        <w:ind w:start="180pt" w:hanging="90pt"/>
      </w:pPr>
      <w:rPr>
        <w:rFonts w:hint="default"/>
      </w:rPr>
    </w:lvl>
  </w:abstractNum>
  <w:abstractNum w:abstractNumId="15" w15:restartNumberingAfterBreak="0">
    <w:nsid w:val="34864694"/>
    <w:multiLevelType w:val="multilevel"/>
    <w:tmpl w:val="C6DEBB2C"/>
    <w:lvl w:ilvl="0">
      <w:start w:val="1"/>
      <w:numFmt w:val="bullet"/>
      <w:lvlText w:val="✔"/>
      <w:lvlJc w:val="start"/>
      <w:pPr>
        <w:ind w:start="36pt" w:hanging="18pt"/>
      </w:pPr>
      <w:rPr>
        <w:rFonts w:ascii="Noto Sans Symbols" w:eastAsia="Noto Sans Symbols" w:hAnsi="Noto Sans Symbols" w:cs="Noto Sans Symbols"/>
      </w:rPr>
    </w:lvl>
    <w:lvl w:ilvl="1">
      <w:start w:val="1"/>
      <w:numFmt w:val="lowerLetter"/>
      <w:lvlText w:val="%2."/>
      <w:lvlJc w:val="start"/>
      <w:pPr>
        <w:ind w:start="72pt" w:hanging="18pt"/>
      </w:pPr>
    </w:lvl>
    <w:lvl w:ilvl="2">
      <w:start w:val="1"/>
      <w:numFmt w:val="lowerRoman"/>
      <w:lvlText w:val="%3."/>
      <w:lvlJc w:val="end"/>
      <w:pPr>
        <w:ind w:start="108pt" w:hanging="9pt"/>
      </w:pPr>
    </w:lvl>
    <w:lvl w:ilvl="3">
      <w:start w:val="1"/>
      <w:numFmt w:val="decimal"/>
      <w:lvlText w:val="%4."/>
      <w:lvlJc w:val="start"/>
      <w:pPr>
        <w:ind w:start="144pt" w:hanging="18pt"/>
      </w:pPr>
    </w:lvl>
    <w:lvl w:ilvl="4">
      <w:start w:val="1"/>
      <w:numFmt w:val="lowerLetter"/>
      <w:lvlText w:val="%5."/>
      <w:lvlJc w:val="start"/>
      <w:pPr>
        <w:ind w:start="180pt" w:hanging="18pt"/>
      </w:pPr>
    </w:lvl>
    <w:lvl w:ilvl="5">
      <w:start w:val="1"/>
      <w:numFmt w:val="lowerRoman"/>
      <w:lvlText w:val="%6."/>
      <w:lvlJc w:val="end"/>
      <w:pPr>
        <w:ind w:start="216pt" w:hanging="9pt"/>
      </w:pPr>
    </w:lvl>
    <w:lvl w:ilvl="6">
      <w:start w:val="1"/>
      <w:numFmt w:val="decimal"/>
      <w:lvlText w:val="%7."/>
      <w:lvlJc w:val="start"/>
      <w:pPr>
        <w:ind w:start="252pt" w:hanging="18pt"/>
      </w:pPr>
    </w:lvl>
    <w:lvl w:ilvl="7">
      <w:start w:val="1"/>
      <w:numFmt w:val="lowerLetter"/>
      <w:lvlText w:val="%8."/>
      <w:lvlJc w:val="start"/>
      <w:pPr>
        <w:ind w:start="288pt" w:hanging="18pt"/>
      </w:pPr>
    </w:lvl>
    <w:lvl w:ilvl="8">
      <w:start w:val="1"/>
      <w:numFmt w:val="lowerRoman"/>
      <w:lvlText w:val="%9."/>
      <w:lvlJc w:val="end"/>
      <w:pPr>
        <w:ind w:start="324pt" w:hanging="9pt"/>
      </w:pPr>
    </w:lvl>
  </w:abstractNum>
  <w:abstractNum w:abstractNumId="16" w15:restartNumberingAfterBreak="0">
    <w:nsid w:val="36226D76"/>
    <w:multiLevelType w:val="hybridMultilevel"/>
    <w:tmpl w:val="23CCC626"/>
    <w:lvl w:ilvl="0" w:tplc="3D32F094">
      <w:start w:val="1"/>
      <w:numFmt w:val="decimal"/>
      <w:lvlText w:val="%1."/>
      <w:lvlJc w:val="start"/>
      <w:pPr>
        <w:ind w:start="23.25pt" w:hanging="18pt"/>
      </w:pPr>
      <w:rPr>
        <w:rFonts w:ascii="Arial MT" w:eastAsia="Arial MT" w:hAnsi="Arial MT" w:cs="Arial MT" w:hint="default"/>
        <w:w w:val="100%"/>
        <w:sz w:val="24"/>
        <w:szCs w:val="24"/>
        <w:lang w:val="es-ES" w:eastAsia="en-US" w:bidi="ar-SA"/>
      </w:rPr>
    </w:lvl>
    <w:lvl w:ilvl="1" w:tplc="00C00F44">
      <w:numFmt w:val="bullet"/>
      <w:lvlText w:val="•"/>
      <w:lvlJc w:val="start"/>
      <w:pPr>
        <w:ind w:start="66.80pt" w:hanging="18pt"/>
      </w:pPr>
      <w:rPr>
        <w:rFonts w:hint="default"/>
        <w:lang w:val="es-ES" w:eastAsia="en-US" w:bidi="ar-SA"/>
      </w:rPr>
    </w:lvl>
    <w:lvl w:ilvl="2" w:tplc="F4FC0948">
      <w:numFmt w:val="bullet"/>
      <w:lvlText w:val="•"/>
      <w:lvlJc w:val="start"/>
      <w:pPr>
        <w:ind w:start="110.65pt" w:hanging="18pt"/>
      </w:pPr>
      <w:rPr>
        <w:rFonts w:hint="default"/>
        <w:lang w:val="es-ES" w:eastAsia="en-US" w:bidi="ar-SA"/>
      </w:rPr>
    </w:lvl>
    <w:lvl w:ilvl="3" w:tplc="75F84A52">
      <w:numFmt w:val="bullet"/>
      <w:lvlText w:val="•"/>
      <w:lvlJc w:val="start"/>
      <w:pPr>
        <w:ind w:start="154.45pt" w:hanging="18pt"/>
      </w:pPr>
      <w:rPr>
        <w:rFonts w:hint="default"/>
        <w:lang w:val="es-ES" w:eastAsia="en-US" w:bidi="ar-SA"/>
      </w:rPr>
    </w:lvl>
    <w:lvl w:ilvl="4" w:tplc="A8401B52">
      <w:numFmt w:val="bullet"/>
      <w:lvlText w:val="•"/>
      <w:lvlJc w:val="start"/>
      <w:pPr>
        <w:ind w:start="198.30pt" w:hanging="18pt"/>
      </w:pPr>
      <w:rPr>
        <w:rFonts w:hint="default"/>
        <w:lang w:val="es-ES" w:eastAsia="en-US" w:bidi="ar-SA"/>
      </w:rPr>
    </w:lvl>
    <w:lvl w:ilvl="5" w:tplc="8682A9F0">
      <w:numFmt w:val="bullet"/>
      <w:lvlText w:val="•"/>
      <w:lvlJc w:val="start"/>
      <w:pPr>
        <w:ind w:start="242.15pt" w:hanging="18pt"/>
      </w:pPr>
      <w:rPr>
        <w:rFonts w:hint="default"/>
        <w:lang w:val="es-ES" w:eastAsia="en-US" w:bidi="ar-SA"/>
      </w:rPr>
    </w:lvl>
    <w:lvl w:ilvl="6" w:tplc="F7D671F0">
      <w:numFmt w:val="bullet"/>
      <w:lvlText w:val="•"/>
      <w:lvlJc w:val="start"/>
      <w:pPr>
        <w:ind w:start="285.95pt" w:hanging="18pt"/>
      </w:pPr>
      <w:rPr>
        <w:rFonts w:hint="default"/>
        <w:lang w:val="es-ES" w:eastAsia="en-US" w:bidi="ar-SA"/>
      </w:rPr>
    </w:lvl>
    <w:lvl w:ilvl="7" w:tplc="90B623BE">
      <w:numFmt w:val="bullet"/>
      <w:lvlText w:val="•"/>
      <w:lvlJc w:val="start"/>
      <w:pPr>
        <w:ind w:start="329.80pt" w:hanging="18pt"/>
      </w:pPr>
      <w:rPr>
        <w:rFonts w:hint="default"/>
        <w:lang w:val="es-ES" w:eastAsia="en-US" w:bidi="ar-SA"/>
      </w:rPr>
    </w:lvl>
    <w:lvl w:ilvl="8" w:tplc="9A948E0C">
      <w:numFmt w:val="bullet"/>
      <w:lvlText w:val="•"/>
      <w:lvlJc w:val="start"/>
      <w:pPr>
        <w:ind w:start="373.65pt" w:hanging="18pt"/>
      </w:pPr>
      <w:rPr>
        <w:rFonts w:hint="default"/>
        <w:lang w:val="es-ES" w:eastAsia="en-US" w:bidi="ar-SA"/>
      </w:rPr>
    </w:lvl>
  </w:abstractNum>
  <w:abstractNum w:abstractNumId="17" w15:restartNumberingAfterBreak="0">
    <w:nsid w:val="3A1858F5"/>
    <w:multiLevelType w:val="hybridMultilevel"/>
    <w:tmpl w:val="B19642F8"/>
    <w:lvl w:ilvl="0" w:tplc="280A000F">
      <w:start w:val="1"/>
      <w:numFmt w:val="decimal"/>
      <w:lvlText w:val="%1."/>
      <w:lvlJc w:val="start"/>
      <w:pPr>
        <w:ind w:start="36pt" w:hanging="18pt"/>
      </w:pPr>
      <w:rPr>
        <w:rFonts w:hint="default"/>
      </w:rPr>
    </w:lvl>
    <w:lvl w:ilvl="1" w:tplc="280A0019">
      <w:start w:val="1"/>
      <w:numFmt w:val="lowerLetter"/>
      <w:lvlText w:val="%2."/>
      <w:lvlJc w:val="start"/>
      <w:pPr>
        <w:ind w:start="72pt" w:hanging="18pt"/>
      </w:pPr>
    </w:lvl>
    <w:lvl w:ilvl="2" w:tplc="280A001B" w:tentative="1">
      <w:start w:val="1"/>
      <w:numFmt w:val="lowerRoman"/>
      <w:lvlText w:val="%3."/>
      <w:lvlJc w:val="end"/>
      <w:pPr>
        <w:ind w:start="108pt" w:hanging="9pt"/>
      </w:pPr>
    </w:lvl>
    <w:lvl w:ilvl="3" w:tplc="280A000F" w:tentative="1">
      <w:start w:val="1"/>
      <w:numFmt w:val="decimal"/>
      <w:lvlText w:val="%4."/>
      <w:lvlJc w:val="start"/>
      <w:pPr>
        <w:ind w:start="144pt" w:hanging="18pt"/>
      </w:pPr>
    </w:lvl>
    <w:lvl w:ilvl="4" w:tplc="280A0019" w:tentative="1">
      <w:start w:val="1"/>
      <w:numFmt w:val="lowerLetter"/>
      <w:lvlText w:val="%5."/>
      <w:lvlJc w:val="start"/>
      <w:pPr>
        <w:ind w:start="180pt" w:hanging="18pt"/>
      </w:pPr>
    </w:lvl>
    <w:lvl w:ilvl="5" w:tplc="280A001B" w:tentative="1">
      <w:start w:val="1"/>
      <w:numFmt w:val="lowerRoman"/>
      <w:lvlText w:val="%6."/>
      <w:lvlJc w:val="end"/>
      <w:pPr>
        <w:ind w:start="216pt" w:hanging="9pt"/>
      </w:pPr>
    </w:lvl>
    <w:lvl w:ilvl="6" w:tplc="280A000F" w:tentative="1">
      <w:start w:val="1"/>
      <w:numFmt w:val="decimal"/>
      <w:lvlText w:val="%7."/>
      <w:lvlJc w:val="start"/>
      <w:pPr>
        <w:ind w:start="252pt" w:hanging="18pt"/>
      </w:pPr>
    </w:lvl>
    <w:lvl w:ilvl="7" w:tplc="280A0019" w:tentative="1">
      <w:start w:val="1"/>
      <w:numFmt w:val="lowerLetter"/>
      <w:lvlText w:val="%8."/>
      <w:lvlJc w:val="start"/>
      <w:pPr>
        <w:ind w:start="288pt" w:hanging="18pt"/>
      </w:pPr>
    </w:lvl>
    <w:lvl w:ilvl="8" w:tplc="280A001B" w:tentative="1">
      <w:start w:val="1"/>
      <w:numFmt w:val="lowerRoman"/>
      <w:lvlText w:val="%9."/>
      <w:lvlJc w:val="end"/>
      <w:pPr>
        <w:ind w:start="324pt" w:hanging="9pt"/>
      </w:pPr>
    </w:lvl>
  </w:abstractNum>
  <w:abstractNum w:abstractNumId="18" w15:restartNumberingAfterBreak="0">
    <w:nsid w:val="45685828"/>
    <w:multiLevelType w:val="multilevel"/>
    <w:tmpl w:val="3B965BE4"/>
    <w:lvl w:ilvl="0">
      <w:start w:val="3"/>
      <w:numFmt w:val="decimal"/>
      <w:lvlText w:val="%1"/>
      <w:lvlJc w:val="start"/>
      <w:pPr>
        <w:ind w:start="41.20pt" w:hanging="20.15pt"/>
      </w:pPr>
      <w:rPr>
        <w:rFonts w:hint="default"/>
        <w:lang w:val="es-ES" w:eastAsia="en-US" w:bidi="ar-SA"/>
      </w:rPr>
    </w:lvl>
    <w:lvl w:ilvl="1">
      <w:start w:val="1"/>
      <w:numFmt w:val="decimal"/>
      <w:lvlText w:val="%1.%2"/>
      <w:lvlJc w:val="start"/>
      <w:pPr>
        <w:ind w:start="41.20pt" w:hanging="20.15pt"/>
      </w:pPr>
      <w:rPr>
        <w:rFonts w:ascii="Arial MT" w:eastAsia="Arial MT" w:hAnsi="Arial MT" w:cs="Arial MT" w:hint="default"/>
        <w:w w:val="99%"/>
        <w:sz w:val="24"/>
        <w:szCs w:val="24"/>
        <w:lang w:val="es-ES" w:eastAsia="en-US" w:bidi="ar-SA"/>
      </w:rPr>
    </w:lvl>
    <w:lvl w:ilvl="2">
      <w:numFmt w:val="bullet"/>
      <w:lvlText w:val="•"/>
      <w:lvlJc w:val="start"/>
      <w:pPr>
        <w:ind w:start="125.05pt" w:hanging="20.15pt"/>
      </w:pPr>
      <w:rPr>
        <w:rFonts w:hint="default"/>
        <w:lang w:val="es-ES" w:eastAsia="en-US" w:bidi="ar-SA"/>
      </w:rPr>
    </w:lvl>
    <w:lvl w:ilvl="3">
      <w:numFmt w:val="bullet"/>
      <w:lvlText w:val="•"/>
      <w:lvlJc w:val="start"/>
      <w:pPr>
        <w:ind w:start="167.05pt" w:hanging="20.15pt"/>
      </w:pPr>
      <w:rPr>
        <w:rFonts w:hint="default"/>
        <w:lang w:val="es-ES" w:eastAsia="en-US" w:bidi="ar-SA"/>
      </w:rPr>
    </w:lvl>
    <w:lvl w:ilvl="4">
      <w:numFmt w:val="bullet"/>
      <w:lvlText w:val="•"/>
      <w:lvlJc w:val="start"/>
      <w:pPr>
        <w:ind w:start="209.10pt" w:hanging="20.15pt"/>
      </w:pPr>
      <w:rPr>
        <w:rFonts w:hint="default"/>
        <w:lang w:val="es-ES" w:eastAsia="en-US" w:bidi="ar-SA"/>
      </w:rPr>
    </w:lvl>
    <w:lvl w:ilvl="5">
      <w:numFmt w:val="bullet"/>
      <w:lvlText w:val="•"/>
      <w:lvlJc w:val="start"/>
      <w:pPr>
        <w:ind w:start="251.15pt" w:hanging="20.15pt"/>
      </w:pPr>
      <w:rPr>
        <w:rFonts w:hint="default"/>
        <w:lang w:val="es-ES" w:eastAsia="en-US" w:bidi="ar-SA"/>
      </w:rPr>
    </w:lvl>
    <w:lvl w:ilvl="6">
      <w:numFmt w:val="bullet"/>
      <w:lvlText w:val="•"/>
      <w:lvlJc w:val="start"/>
      <w:pPr>
        <w:ind w:start="293.15pt" w:hanging="20.15pt"/>
      </w:pPr>
      <w:rPr>
        <w:rFonts w:hint="default"/>
        <w:lang w:val="es-ES" w:eastAsia="en-US" w:bidi="ar-SA"/>
      </w:rPr>
    </w:lvl>
    <w:lvl w:ilvl="7">
      <w:numFmt w:val="bullet"/>
      <w:lvlText w:val="•"/>
      <w:lvlJc w:val="start"/>
      <w:pPr>
        <w:ind w:start="335.20pt" w:hanging="20.15pt"/>
      </w:pPr>
      <w:rPr>
        <w:rFonts w:hint="default"/>
        <w:lang w:val="es-ES" w:eastAsia="en-US" w:bidi="ar-SA"/>
      </w:rPr>
    </w:lvl>
    <w:lvl w:ilvl="8">
      <w:numFmt w:val="bullet"/>
      <w:lvlText w:val="•"/>
      <w:lvlJc w:val="start"/>
      <w:pPr>
        <w:ind w:start="377.25pt" w:hanging="20.15pt"/>
      </w:pPr>
      <w:rPr>
        <w:rFonts w:hint="default"/>
        <w:lang w:val="es-ES" w:eastAsia="en-US" w:bidi="ar-SA"/>
      </w:rPr>
    </w:lvl>
  </w:abstractNum>
  <w:abstractNum w:abstractNumId="19" w15:restartNumberingAfterBreak="0">
    <w:nsid w:val="46ED4777"/>
    <w:multiLevelType w:val="hybridMultilevel"/>
    <w:tmpl w:val="D034EDFC"/>
    <w:lvl w:ilvl="0" w:tplc="652A7DDE">
      <w:start w:val="1"/>
      <w:numFmt w:val="upperRoman"/>
      <w:lvlText w:val="%1."/>
      <w:lvlJc w:val="start"/>
      <w:pPr>
        <w:ind w:start="18.70pt" w:hanging="9.60pt"/>
      </w:pPr>
      <w:rPr>
        <w:rFonts w:ascii="Arial MT" w:eastAsia="Arial MT" w:hAnsi="Arial MT" w:cs="Arial MT" w:hint="default"/>
        <w:w w:val="100%"/>
        <w:sz w:val="24"/>
        <w:szCs w:val="24"/>
        <w:lang w:val="es-ES" w:eastAsia="en-US" w:bidi="ar-SA"/>
      </w:rPr>
    </w:lvl>
    <w:lvl w:ilvl="1" w:tplc="49862288">
      <w:start w:val="1"/>
      <w:numFmt w:val="upperRoman"/>
      <w:lvlText w:val="%2."/>
      <w:lvlJc w:val="start"/>
      <w:pPr>
        <w:ind w:start="189.15pt" w:hanging="14.20pt"/>
        <w:jc w:val="end"/>
      </w:pPr>
      <w:rPr>
        <w:rFonts w:ascii="Arial" w:eastAsia="Arial" w:hAnsi="Arial" w:cs="Arial" w:hint="default"/>
        <w:b/>
        <w:bCs/>
        <w:w w:val="100%"/>
        <w:sz w:val="24"/>
        <w:szCs w:val="24"/>
        <w:lang w:val="es-ES" w:eastAsia="en-US" w:bidi="ar-SA"/>
      </w:rPr>
    </w:lvl>
    <w:lvl w:ilvl="2" w:tplc="0B3C5C74">
      <w:start w:val="4"/>
      <w:numFmt w:val="upperRoman"/>
      <w:lvlText w:val="%3."/>
      <w:lvlJc w:val="start"/>
      <w:pPr>
        <w:ind w:start="206.05pt" w:hanging="21.40pt"/>
        <w:jc w:val="end"/>
      </w:pPr>
      <w:rPr>
        <w:rFonts w:ascii="Arial" w:eastAsia="Arial" w:hAnsi="Arial" w:cs="Arial" w:hint="default"/>
        <w:b/>
        <w:bCs/>
        <w:w w:val="100%"/>
        <w:sz w:val="24"/>
        <w:szCs w:val="24"/>
        <w:lang w:val="es-ES" w:eastAsia="en-US" w:bidi="ar-SA"/>
      </w:rPr>
    </w:lvl>
    <w:lvl w:ilvl="3" w:tplc="457C0858">
      <w:numFmt w:val="bullet"/>
      <w:lvlText w:val="•"/>
      <w:lvlJc w:val="start"/>
      <w:pPr>
        <w:ind w:start="237.90pt" w:hanging="21.40pt"/>
      </w:pPr>
      <w:rPr>
        <w:rFonts w:hint="default"/>
        <w:lang w:val="es-ES" w:eastAsia="en-US" w:bidi="ar-SA"/>
      </w:rPr>
    </w:lvl>
    <w:lvl w:ilvl="4" w:tplc="711CA4C4">
      <w:numFmt w:val="bullet"/>
      <w:lvlText w:val="•"/>
      <w:lvlJc w:val="start"/>
      <w:pPr>
        <w:ind w:start="269.80pt" w:hanging="21.40pt"/>
      </w:pPr>
      <w:rPr>
        <w:rFonts w:hint="default"/>
        <w:lang w:val="es-ES" w:eastAsia="en-US" w:bidi="ar-SA"/>
      </w:rPr>
    </w:lvl>
    <w:lvl w:ilvl="5" w:tplc="69020FB8">
      <w:numFmt w:val="bullet"/>
      <w:lvlText w:val="•"/>
      <w:lvlJc w:val="start"/>
      <w:pPr>
        <w:ind w:start="301.70pt" w:hanging="21.40pt"/>
      </w:pPr>
      <w:rPr>
        <w:rFonts w:hint="default"/>
        <w:lang w:val="es-ES" w:eastAsia="en-US" w:bidi="ar-SA"/>
      </w:rPr>
    </w:lvl>
    <w:lvl w:ilvl="6" w:tplc="6CA8C40E">
      <w:numFmt w:val="bullet"/>
      <w:lvlText w:val="•"/>
      <w:lvlJc w:val="start"/>
      <w:pPr>
        <w:ind w:start="333.65pt" w:hanging="21.40pt"/>
      </w:pPr>
      <w:rPr>
        <w:rFonts w:hint="default"/>
        <w:lang w:val="es-ES" w:eastAsia="en-US" w:bidi="ar-SA"/>
      </w:rPr>
    </w:lvl>
    <w:lvl w:ilvl="7" w:tplc="D5C22C1C">
      <w:numFmt w:val="bullet"/>
      <w:lvlText w:val="•"/>
      <w:lvlJc w:val="start"/>
      <w:pPr>
        <w:ind w:start="365.55pt" w:hanging="21.40pt"/>
      </w:pPr>
      <w:rPr>
        <w:rFonts w:hint="default"/>
        <w:lang w:val="es-ES" w:eastAsia="en-US" w:bidi="ar-SA"/>
      </w:rPr>
    </w:lvl>
    <w:lvl w:ilvl="8" w:tplc="77FC8096">
      <w:numFmt w:val="bullet"/>
      <w:lvlText w:val="•"/>
      <w:lvlJc w:val="start"/>
      <w:pPr>
        <w:ind w:start="397.45pt" w:hanging="21.40pt"/>
      </w:pPr>
      <w:rPr>
        <w:rFonts w:hint="default"/>
        <w:lang w:val="es-ES" w:eastAsia="en-US" w:bidi="ar-SA"/>
      </w:rPr>
    </w:lvl>
  </w:abstractNum>
  <w:abstractNum w:abstractNumId="20" w15:restartNumberingAfterBreak="0">
    <w:nsid w:val="47BF2CC9"/>
    <w:multiLevelType w:val="hybridMultilevel"/>
    <w:tmpl w:val="9000E6F8"/>
    <w:lvl w:ilvl="0" w:tplc="280A000F">
      <w:start w:val="1"/>
      <w:numFmt w:val="decimal"/>
      <w:lvlText w:val="%1."/>
      <w:lvlJc w:val="start"/>
      <w:pPr>
        <w:ind w:start="36pt" w:hanging="18pt"/>
      </w:pPr>
      <w:rPr>
        <w:rFonts w:hint="default"/>
      </w:rPr>
    </w:lvl>
    <w:lvl w:ilvl="1" w:tplc="280A0019" w:tentative="1">
      <w:start w:val="1"/>
      <w:numFmt w:val="lowerLetter"/>
      <w:lvlText w:val="%2."/>
      <w:lvlJc w:val="start"/>
      <w:pPr>
        <w:ind w:start="72pt" w:hanging="18pt"/>
      </w:pPr>
    </w:lvl>
    <w:lvl w:ilvl="2" w:tplc="280A001B" w:tentative="1">
      <w:start w:val="1"/>
      <w:numFmt w:val="lowerRoman"/>
      <w:lvlText w:val="%3."/>
      <w:lvlJc w:val="end"/>
      <w:pPr>
        <w:ind w:start="108pt" w:hanging="9pt"/>
      </w:pPr>
    </w:lvl>
    <w:lvl w:ilvl="3" w:tplc="280A000F" w:tentative="1">
      <w:start w:val="1"/>
      <w:numFmt w:val="decimal"/>
      <w:lvlText w:val="%4."/>
      <w:lvlJc w:val="start"/>
      <w:pPr>
        <w:ind w:start="144pt" w:hanging="18pt"/>
      </w:pPr>
    </w:lvl>
    <w:lvl w:ilvl="4" w:tplc="280A0019" w:tentative="1">
      <w:start w:val="1"/>
      <w:numFmt w:val="lowerLetter"/>
      <w:lvlText w:val="%5."/>
      <w:lvlJc w:val="start"/>
      <w:pPr>
        <w:ind w:start="180pt" w:hanging="18pt"/>
      </w:pPr>
    </w:lvl>
    <w:lvl w:ilvl="5" w:tplc="280A001B" w:tentative="1">
      <w:start w:val="1"/>
      <w:numFmt w:val="lowerRoman"/>
      <w:lvlText w:val="%6."/>
      <w:lvlJc w:val="end"/>
      <w:pPr>
        <w:ind w:start="216pt" w:hanging="9pt"/>
      </w:pPr>
    </w:lvl>
    <w:lvl w:ilvl="6" w:tplc="280A000F" w:tentative="1">
      <w:start w:val="1"/>
      <w:numFmt w:val="decimal"/>
      <w:lvlText w:val="%7."/>
      <w:lvlJc w:val="start"/>
      <w:pPr>
        <w:ind w:start="252pt" w:hanging="18pt"/>
      </w:pPr>
    </w:lvl>
    <w:lvl w:ilvl="7" w:tplc="280A0019" w:tentative="1">
      <w:start w:val="1"/>
      <w:numFmt w:val="lowerLetter"/>
      <w:lvlText w:val="%8."/>
      <w:lvlJc w:val="start"/>
      <w:pPr>
        <w:ind w:start="288pt" w:hanging="18pt"/>
      </w:pPr>
    </w:lvl>
    <w:lvl w:ilvl="8" w:tplc="280A001B" w:tentative="1">
      <w:start w:val="1"/>
      <w:numFmt w:val="lowerRoman"/>
      <w:lvlText w:val="%9."/>
      <w:lvlJc w:val="end"/>
      <w:pPr>
        <w:ind w:start="324pt" w:hanging="9pt"/>
      </w:pPr>
    </w:lvl>
  </w:abstractNum>
  <w:abstractNum w:abstractNumId="21" w15:restartNumberingAfterBreak="0">
    <w:nsid w:val="47D572B3"/>
    <w:multiLevelType w:val="hybridMultilevel"/>
    <w:tmpl w:val="E90C1146"/>
    <w:lvl w:ilvl="0" w:tplc="2F38C194">
      <w:start w:val="1"/>
      <w:numFmt w:val="decimal"/>
      <w:lvlText w:val="%1."/>
      <w:lvlJc w:val="start"/>
      <w:pPr>
        <w:ind w:start="54pt" w:hanging="18pt"/>
      </w:pPr>
      <w:rPr>
        <w:rFonts w:hint="default"/>
      </w:rPr>
    </w:lvl>
    <w:lvl w:ilvl="1" w:tplc="280A0019" w:tentative="1">
      <w:start w:val="1"/>
      <w:numFmt w:val="lowerLetter"/>
      <w:lvlText w:val="%2."/>
      <w:lvlJc w:val="start"/>
      <w:pPr>
        <w:ind w:start="90pt" w:hanging="18pt"/>
      </w:pPr>
    </w:lvl>
    <w:lvl w:ilvl="2" w:tplc="280A001B" w:tentative="1">
      <w:start w:val="1"/>
      <w:numFmt w:val="lowerRoman"/>
      <w:lvlText w:val="%3."/>
      <w:lvlJc w:val="end"/>
      <w:pPr>
        <w:ind w:start="126pt" w:hanging="9pt"/>
      </w:pPr>
    </w:lvl>
    <w:lvl w:ilvl="3" w:tplc="280A000F" w:tentative="1">
      <w:start w:val="1"/>
      <w:numFmt w:val="decimal"/>
      <w:lvlText w:val="%4."/>
      <w:lvlJc w:val="start"/>
      <w:pPr>
        <w:ind w:start="162pt" w:hanging="18pt"/>
      </w:pPr>
    </w:lvl>
    <w:lvl w:ilvl="4" w:tplc="280A0019" w:tentative="1">
      <w:start w:val="1"/>
      <w:numFmt w:val="lowerLetter"/>
      <w:lvlText w:val="%5."/>
      <w:lvlJc w:val="start"/>
      <w:pPr>
        <w:ind w:start="198pt" w:hanging="18pt"/>
      </w:pPr>
    </w:lvl>
    <w:lvl w:ilvl="5" w:tplc="280A001B" w:tentative="1">
      <w:start w:val="1"/>
      <w:numFmt w:val="lowerRoman"/>
      <w:lvlText w:val="%6."/>
      <w:lvlJc w:val="end"/>
      <w:pPr>
        <w:ind w:start="234pt" w:hanging="9pt"/>
      </w:pPr>
    </w:lvl>
    <w:lvl w:ilvl="6" w:tplc="280A000F" w:tentative="1">
      <w:start w:val="1"/>
      <w:numFmt w:val="decimal"/>
      <w:lvlText w:val="%7."/>
      <w:lvlJc w:val="start"/>
      <w:pPr>
        <w:ind w:start="270pt" w:hanging="18pt"/>
      </w:pPr>
    </w:lvl>
    <w:lvl w:ilvl="7" w:tplc="280A0019" w:tentative="1">
      <w:start w:val="1"/>
      <w:numFmt w:val="lowerLetter"/>
      <w:lvlText w:val="%8."/>
      <w:lvlJc w:val="start"/>
      <w:pPr>
        <w:ind w:start="306pt" w:hanging="18pt"/>
      </w:pPr>
    </w:lvl>
    <w:lvl w:ilvl="8" w:tplc="280A001B" w:tentative="1">
      <w:start w:val="1"/>
      <w:numFmt w:val="lowerRoman"/>
      <w:lvlText w:val="%9."/>
      <w:lvlJc w:val="end"/>
      <w:pPr>
        <w:ind w:start="342pt" w:hanging="9pt"/>
      </w:pPr>
    </w:lvl>
  </w:abstractNum>
  <w:abstractNum w:abstractNumId="22" w15:restartNumberingAfterBreak="0">
    <w:nsid w:val="51602197"/>
    <w:multiLevelType w:val="hybridMultilevel"/>
    <w:tmpl w:val="CD0A8470"/>
    <w:lvl w:ilvl="0" w:tplc="5BD09D48">
      <w:start w:val="1"/>
      <w:numFmt w:val="lowerLetter"/>
      <w:lvlText w:val="%1)"/>
      <w:lvlJc w:val="start"/>
      <w:pPr>
        <w:ind w:start="36pt" w:hanging="18pt"/>
      </w:pPr>
      <w:rPr>
        <w:rFonts w:hint="default"/>
        <w:b/>
      </w:rPr>
    </w:lvl>
    <w:lvl w:ilvl="1" w:tplc="0C0A0019" w:tentative="1">
      <w:start w:val="1"/>
      <w:numFmt w:val="lowerLetter"/>
      <w:lvlText w:val="%2."/>
      <w:lvlJc w:val="start"/>
      <w:pPr>
        <w:ind w:start="72pt" w:hanging="18pt"/>
      </w:pPr>
    </w:lvl>
    <w:lvl w:ilvl="2" w:tplc="0C0A001B" w:tentative="1">
      <w:start w:val="1"/>
      <w:numFmt w:val="lowerRoman"/>
      <w:lvlText w:val="%3."/>
      <w:lvlJc w:val="end"/>
      <w:pPr>
        <w:ind w:start="108pt" w:hanging="9pt"/>
      </w:pPr>
    </w:lvl>
    <w:lvl w:ilvl="3" w:tplc="0C0A000F" w:tentative="1">
      <w:start w:val="1"/>
      <w:numFmt w:val="decimal"/>
      <w:lvlText w:val="%4."/>
      <w:lvlJc w:val="start"/>
      <w:pPr>
        <w:ind w:start="144pt" w:hanging="18pt"/>
      </w:pPr>
    </w:lvl>
    <w:lvl w:ilvl="4" w:tplc="0C0A0019" w:tentative="1">
      <w:start w:val="1"/>
      <w:numFmt w:val="lowerLetter"/>
      <w:lvlText w:val="%5."/>
      <w:lvlJc w:val="start"/>
      <w:pPr>
        <w:ind w:start="180pt" w:hanging="18pt"/>
      </w:pPr>
    </w:lvl>
    <w:lvl w:ilvl="5" w:tplc="0C0A001B" w:tentative="1">
      <w:start w:val="1"/>
      <w:numFmt w:val="lowerRoman"/>
      <w:lvlText w:val="%6."/>
      <w:lvlJc w:val="end"/>
      <w:pPr>
        <w:ind w:start="216pt" w:hanging="9pt"/>
      </w:pPr>
    </w:lvl>
    <w:lvl w:ilvl="6" w:tplc="0C0A000F" w:tentative="1">
      <w:start w:val="1"/>
      <w:numFmt w:val="decimal"/>
      <w:lvlText w:val="%7."/>
      <w:lvlJc w:val="start"/>
      <w:pPr>
        <w:ind w:start="252pt" w:hanging="18pt"/>
      </w:pPr>
    </w:lvl>
    <w:lvl w:ilvl="7" w:tplc="0C0A0019" w:tentative="1">
      <w:start w:val="1"/>
      <w:numFmt w:val="lowerLetter"/>
      <w:lvlText w:val="%8."/>
      <w:lvlJc w:val="start"/>
      <w:pPr>
        <w:ind w:start="288pt" w:hanging="18pt"/>
      </w:pPr>
    </w:lvl>
    <w:lvl w:ilvl="8" w:tplc="0C0A001B" w:tentative="1">
      <w:start w:val="1"/>
      <w:numFmt w:val="lowerRoman"/>
      <w:lvlText w:val="%9."/>
      <w:lvlJc w:val="end"/>
      <w:pPr>
        <w:ind w:start="324pt" w:hanging="9pt"/>
      </w:pPr>
    </w:lvl>
  </w:abstractNum>
  <w:abstractNum w:abstractNumId="23" w15:restartNumberingAfterBreak="0">
    <w:nsid w:val="52B77291"/>
    <w:multiLevelType w:val="hybridMultilevel"/>
    <w:tmpl w:val="624C9154"/>
    <w:lvl w:ilvl="0" w:tplc="280A000F">
      <w:start w:val="1"/>
      <w:numFmt w:val="decimal"/>
      <w:lvlText w:val="%1."/>
      <w:lvlJc w:val="start"/>
      <w:pPr>
        <w:ind w:start="36pt" w:hanging="18pt"/>
      </w:pPr>
      <w:rPr>
        <w:rFonts w:hint="default"/>
      </w:rPr>
    </w:lvl>
    <w:lvl w:ilvl="1" w:tplc="280A0019" w:tentative="1">
      <w:start w:val="1"/>
      <w:numFmt w:val="lowerLetter"/>
      <w:lvlText w:val="%2."/>
      <w:lvlJc w:val="start"/>
      <w:pPr>
        <w:ind w:start="72pt" w:hanging="18pt"/>
      </w:pPr>
    </w:lvl>
    <w:lvl w:ilvl="2" w:tplc="280A001B" w:tentative="1">
      <w:start w:val="1"/>
      <w:numFmt w:val="lowerRoman"/>
      <w:lvlText w:val="%3."/>
      <w:lvlJc w:val="end"/>
      <w:pPr>
        <w:ind w:start="108pt" w:hanging="9pt"/>
      </w:pPr>
    </w:lvl>
    <w:lvl w:ilvl="3" w:tplc="280A000F" w:tentative="1">
      <w:start w:val="1"/>
      <w:numFmt w:val="decimal"/>
      <w:lvlText w:val="%4."/>
      <w:lvlJc w:val="start"/>
      <w:pPr>
        <w:ind w:start="144pt" w:hanging="18pt"/>
      </w:pPr>
    </w:lvl>
    <w:lvl w:ilvl="4" w:tplc="280A0019" w:tentative="1">
      <w:start w:val="1"/>
      <w:numFmt w:val="lowerLetter"/>
      <w:lvlText w:val="%5."/>
      <w:lvlJc w:val="start"/>
      <w:pPr>
        <w:ind w:start="180pt" w:hanging="18pt"/>
      </w:pPr>
    </w:lvl>
    <w:lvl w:ilvl="5" w:tplc="280A001B" w:tentative="1">
      <w:start w:val="1"/>
      <w:numFmt w:val="lowerRoman"/>
      <w:lvlText w:val="%6."/>
      <w:lvlJc w:val="end"/>
      <w:pPr>
        <w:ind w:start="216pt" w:hanging="9pt"/>
      </w:pPr>
    </w:lvl>
    <w:lvl w:ilvl="6" w:tplc="280A000F" w:tentative="1">
      <w:start w:val="1"/>
      <w:numFmt w:val="decimal"/>
      <w:lvlText w:val="%7."/>
      <w:lvlJc w:val="start"/>
      <w:pPr>
        <w:ind w:start="252pt" w:hanging="18pt"/>
      </w:pPr>
    </w:lvl>
    <w:lvl w:ilvl="7" w:tplc="280A0019" w:tentative="1">
      <w:start w:val="1"/>
      <w:numFmt w:val="lowerLetter"/>
      <w:lvlText w:val="%8."/>
      <w:lvlJc w:val="start"/>
      <w:pPr>
        <w:ind w:start="288pt" w:hanging="18pt"/>
      </w:pPr>
    </w:lvl>
    <w:lvl w:ilvl="8" w:tplc="280A001B" w:tentative="1">
      <w:start w:val="1"/>
      <w:numFmt w:val="lowerRoman"/>
      <w:lvlText w:val="%9."/>
      <w:lvlJc w:val="end"/>
      <w:pPr>
        <w:ind w:start="324pt" w:hanging="9pt"/>
      </w:pPr>
    </w:lvl>
  </w:abstractNum>
  <w:abstractNum w:abstractNumId="24" w15:restartNumberingAfterBreak="0">
    <w:nsid w:val="56205803"/>
    <w:multiLevelType w:val="multilevel"/>
    <w:tmpl w:val="E2A47066"/>
    <w:lvl w:ilvl="0">
      <w:start w:val="1"/>
      <w:numFmt w:val="decimal"/>
      <w:pStyle w:val="Els-1storder-head"/>
      <w:suff w:val="space"/>
      <w:lvlText w:val="%1."/>
      <w:lvlJc w:val="start"/>
      <w:pPr>
        <w:ind w:start="0pt" w:firstLine="0pt"/>
      </w:pPr>
    </w:lvl>
    <w:lvl w:ilvl="1">
      <w:start w:val="1"/>
      <w:numFmt w:val="decimal"/>
      <w:pStyle w:val="Els-2ndorder-head"/>
      <w:suff w:val="space"/>
      <w:lvlText w:val="%1.%2."/>
      <w:lvlJc w:val="start"/>
      <w:pPr>
        <w:ind w:start="0pt" w:firstLine="0pt"/>
      </w:pPr>
    </w:lvl>
    <w:lvl w:ilvl="2">
      <w:start w:val="1"/>
      <w:numFmt w:val="decimal"/>
      <w:pStyle w:val="Els-3rdorder-head"/>
      <w:suff w:val="space"/>
      <w:lvlText w:val="%1.%2.%3."/>
      <w:lvlJc w:val="start"/>
      <w:pPr>
        <w:ind w:start="0pt" w:firstLine="0pt"/>
      </w:pPr>
    </w:lvl>
    <w:lvl w:ilvl="3">
      <w:start w:val="1"/>
      <w:numFmt w:val="decimal"/>
      <w:pStyle w:val="Els-4thorder-head"/>
      <w:suff w:val="space"/>
      <w:lvlText w:val="%1.%2.%3.%4."/>
      <w:lvlJc w:val="start"/>
      <w:pPr>
        <w:ind w:start="0pt" w:firstLine="0pt"/>
      </w:pPr>
    </w:lvl>
    <w:lvl w:ilvl="4">
      <w:start w:val="1"/>
      <w:numFmt w:val="decimal"/>
      <w:suff w:val="space"/>
      <w:lvlText w:val="%1.%2.%3.%4.%5."/>
      <w:lvlJc w:val="start"/>
      <w:pPr>
        <w:ind w:start="0pt" w:firstLine="0pt"/>
      </w:pPr>
    </w:lvl>
    <w:lvl w:ilvl="5">
      <w:start w:val="1"/>
      <w:numFmt w:val="decimal"/>
      <w:suff w:val="space"/>
      <w:lvlText w:val="%1.%2.%3.%4.%5.%6."/>
      <w:lvlJc w:val="start"/>
      <w:pPr>
        <w:ind w:start="0pt" w:firstLine="0pt"/>
      </w:pPr>
    </w:lvl>
    <w:lvl w:ilvl="6">
      <w:start w:val="1"/>
      <w:numFmt w:val="decimal"/>
      <w:suff w:val="space"/>
      <w:lvlText w:val="%1.%2.%3.%4.%5.%6.%7."/>
      <w:lvlJc w:val="start"/>
      <w:pPr>
        <w:ind w:start="0pt" w:firstLine="0pt"/>
      </w:pPr>
    </w:lvl>
    <w:lvl w:ilvl="7">
      <w:start w:val="1"/>
      <w:numFmt w:val="decimal"/>
      <w:suff w:val="space"/>
      <w:lvlText w:val="%1.%2.%3.%4.%5.%6.%7.%8."/>
      <w:lvlJc w:val="start"/>
      <w:pPr>
        <w:ind w:start="0pt" w:firstLine="0pt"/>
      </w:pPr>
    </w:lvl>
    <w:lvl w:ilvl="8">
      <w:start w:val="1"/>
      <w:numFmt w:val="decimal"/>
      <w:suff w:val="space"/>
      <w:lvlText w:val="%1..%3.%4.%5.%6.%7.%8.%9."/>
      <w:lvlJc w:val="start"/>
      <w:pPr>
        <w:ind w:start="0pt" w:firstLine="0pt"/>
      </w:pPr>
    </w:lvl>
  </w:abstractNum>
  <w:abstractNum w:abstractNumId="25" w15:restartNumberingAfterBreak="0">
    <w:nsid w:val="5A4270D7"/>
    <w:multiLevelType w:val="multilevel"/>
    <w:tmpl w:val="17161F16"/>
    <w:lvl w:ilvl="0">
      <w:start w:val="1"/>
      <w:numFmt w:val="decimal"/>
      <w:pStyle w:val="Contenidodecapitulos1"/>
      <w:lvlText w:val="%1."/>
      <w:lvlJc w:val="start"/>
      <w:pPr>
        <w:ind w:start="18pt" w:hanging="18pt"/>
      </w:pPr>
    </w:lvl>
    <w:lvl w:ilvl="1">
      <w:start w:val="2"/>
      <w:numFmt w:val="decimal"/>
      <w:isLgl/>
      <w:lvlText w:val="%1.%2"/>
      <w:lvlJc w:val="start"/>
      <w:pPr>
        <w:ind w:start="19.50pt" w:hanging="19.50pt"/>
      </w:pPr>
      <w:rPr>
        <w:rFonts w:hint="default"/>
      </w:rPr>
    </w:lvl>
    <w:lvl w:ilvl="2">
      <w:start w:val="1"/>
      <w:numFmt w:val="decimal"/>
      <w:isLgl/>
      <w:lvlText w:val="%1.%2.%3"/>
      <w:lvlJc w:val="start"/>
      <w:pPr>
        <w:ind w:start="36pt" w:hanging="36pt"/>
      </w:pPr>
      <w:rPr>
        <w:rFonts w:hint="default"/>
      </w:rPr>
    </w:lvl>
    <w:lvl w:ilvl="3">
      <w:start w:val="1"/>
      <w:numFmt w:val="decimal"/>
      <w:isLgl/>
      <w:lvlText w:val="%1.%2.%3.%4"/>
      <w:lvlJc w:val="start"/>
      <w:pPr>
        <w:ind w:start="54pt" w:hanging="54pt"/>
      </w:pPr>
      <w:rPr>
        <w:rFonts w:hint="default"/>
      </w:rPr>
    </w:lvl>
    <w:lvl w:ilvl="4">
      <w:start w:val="1"/>
      <w:numFmt w:val="decimal"/>
      <w:isLgl/>
      <w:lvlText w:val="%1.%2.%3.%4.%5"/>
      <w:lvlJc w:val="start"/>
      <w:pPr>
        <w:ind w:start="54pt" w:hanging="54pt"/>
      </w:pPr>
      <w:rPr>
        <w:rFonts w:hint="default"/>
      </w:rPr>
    </w:lvl>
    <w:lvl w:ilvl="5">
      <w:start w:val="1"/>
      <w:numFmt w:val="decimal"/>
      <w:isLgl/>
      <w:lvlText w:val="%1.%2.%3.%4.%5.%6"/>
      <w:lvlJc w:val="start"/>
      <w:pPr>
        <w:ind w:start="72pt" w:hanging="72pt"/>
      </w:pPr>
      <w:rPr>
        <w:rFonts w:hint="default"/>
      </w:rPr>
    </w:lvl>
    <w:lvl w:ilvl="6">
      <w:start w:val="1"/>
      <w:numFmt w:val="decimal"/>
      <w:isLgl/>
      <w:lvlText w:val="%1.%2.%3.%4.%5.%6.%7"/>
      <w:lvlJc w:val="start"/>
      <w:pPr>
        <w:ind w:start="72pt" w:hanging="72pt"/>
      </w:pPr>
      <w:rPr>
        <w:rFonts w:hint="default"/>
      </w:rPr>
    </w:lvl>
    <w:lvl w:ilvl="7">
      <w:start w:val="1"/>
      <w:numFmt w:val="decimal"/>
      <w:isLgl/>
      <w:lvlText w:val="%1.%2.%3.%4.%5.%6.%7.%8"/>
      <w:lvlJc w:val="start"/>
      <w:pPr>
        <w:ind w:start="90pt" w:hanging="90pt"/>
      </w:pPr>
      <w:rPr>
        <w:rFonts w:hint="default"/>
      </w:rPr>
    </w:lvl>
    <w:lvl w:ilvl="8">
      <w:start w:val="1"/>
      <w:numFmt w:val="decimal"/>
      <w:isLgl/>
      <w:lvlText w:val="%1.%2.%3.%4.%5.%6.%7.%8.%9"/>
      <w:lvlJc w:val="start"/>
      <w:pPr>
        <w:ind w:start="90pt" w:hanging="90pt"/>
      </w:pPr>
      <w:rPr>
        <w:rFonts w:hint="default"/>
      </w:rPr>
    </w:lvl>
  </w:abstractNum>
  <w:abstractNum w:abstractNumId="26" w15:restartNumberingAfterBreak="0">
    <w:nsid w:val="614E2E4E"/>
    <w:multiLevelType w:val="hybridMultilevel"/>
    <w:tmpl w:val="29DC3A92"/>
    <w:lvl w:ilvl="0" w:tplc="50BCAF00">
      <w:start w:val="1"/>
      <w:numFmt w:val="upperRoman"/>
      <w:lvlText w:val="%1."/>
      <w:lvlJc w:val="start"/>
      <w:pPr>
        <w:ind w:start="54pt" w:hanging="36pt"/>
      </w:pPr>
      <w:rPr>
        <w:rFonts w:hint="default"/>
      </w:rPr>
    </w:lvl>
    <w:lvl w:ilvl="1" w:tplc="280A0019" w:tentative="1">
      <w:start w:val="1"/>
      <w:numFmt w:val="lowerLetter"/>
      <w:lvlText w:val="%2."/>
      <w:lvlJc w:val="start"/>
      <w:pPr>
        <w:ind w:start="72pt" w:hanging="18pt"/>
      </w:pPr>
    </w:lvl>
    <w:lvl w:ilvl="2" w:tplc="280A001B" w:tentative="1">
      <w:start w:val="1"/>
      <w:numFmt w:val="lowerRoman"/>
      <w:lvlText w:val="%3."/>
      <w:lvlJc w:val="end"/>
      <w:pPr>
        <w:ind w:start="108pt" w:hanging="9pt"/>
      </w:pPr>
    </w:lvl>
    <w:lvl w:ilvl="3" w:tplc="280A000F" w:tentative="1">
      <w:start w:val="1"/>
      <w:numFmt w:val="decimal"/>
      <w:lvlText w:val="%4."/>
      <w:lvlJc w:val="start"/>
      <w:pPr>
        <w:ind w:start="144pt" w:hanging="18pt"/>
      </w:pPr>
    </w:lvl>
    <w:lvl w:ilvl="4" w:tplc="280A0019" w:tentative="1">
      <w:start w:val="1"/>
      <w:numFmt w:val="lowerLetter"/>
      <w:lvlText w:val="%5."/>
      <w:lvlJc w:val="start"/>
      <w:pPr>
        <w:ind w:start="180pt" w:hanging="18pt"/>
      </w:pPr>
    </w:lvl>
    <w:lvl w:ilvl="5" w:tplc="280A001B" w:tentative="1">
      <w:start w:val="1"/>
      <w:numFmt w:val="lowerRoman"/>
      <w:lvlText w:val="%6."/>
      <w:lvlJc w:val="end"/>
      <w:pPr>
        <w:ind w:start="216pt" w:hanging="9pt"/>
      </w:pPr>
    </w:lvl>
    <w:lvl w:ilvl="6" w:tplc="280A000F" w:tentative="1">
      <w:start w:val="1"/>
      <w:numFmt w:val="decimal"/>
      <w:lvlText w:val="%7."/>
      <w:lvlJc w:val="start"/>
      <w:pPr>
        <w:ind w:start="252pt" w:hanging="18pt"/>
      </w:pPr>
    </w:lvl>
    <w:lvl w:ilvl="7" w:tplc="280A0019" w:tentative="1">
      <w:start w:val="1"/>
      <w:numFmt w:val="lowerLetter"/>
      <w:lvlText w:val="%8."/>
      <w:lvlJc w:val="start"/>
      <w:pPr>
        <w:ind w:start="288pt" w:hanging="18pt"/>
      </w:pPr>
    </w:lvl>
    <w:lvl w:ilvl="8" w:tplc="280A001B" w:tentative="1">
      <w:start w:val="1"/>
      <w:numFmt w:val="lowerRoman"/>
      <w:lvlText w:val="%9."/>
      <w:lvlJc w:val="end"/>
      <w:pPr>
        <w:ind w:start="324pt" w:hanging="9pt"/>
      </w:pPr>
    </w:lvl>
  </w:abstractNum>
  <w:abstractNum w:abstractNumId="27" w15:restartNumberingAfterBreak="0">
    <w:nsid w:val="62883B70"/>
    <w:multiLevelType w:val="hybridMultilevel"/>
    <w:tmpl w:val="99EEEF4A"/>
    <w:lvl w:ilvl="0" w:tplc="7CD456FE">
      <w:start w:val="1"/>
      <w:numFmt w:val="decimal"/>
      <w:lvlText w:val="%1."/>
      <w:lvlJc w:val="start"/>
      <w:pPr>
        <w:ind w:start="36pt" w:hanging="18pt"/>
      </w:pPr>
      <w:rPr>
        <w:b/>
      </w:rPr>
    </w:lvl>
    <w:lvl w:ilvl="1" w:tplc="280A0019" w:tentative="1">
      <w:start w:val="1"/>
      <w:numFmt w:val="lowerLetter"/>
      <w:lvlText w:val="%2."/>
      <w:lvlJc w:val="start"/>
      <w:pPr>
        <w:ind w:start="72pt" w:hanging="18pt"/>
      </w:pPr>
    </w:lvl>
    <w:lvl w:ilvl="2" w:tplc="280A001B" w:tentative="1">
      <w:start w:val="1"/>
      <w:numFmt w:val="lowerRoman"/>
      <w:lvlText w:val="%3."/>
      <w:lvlJc w:val="end"/>
      <w:pPr>
        <w:ind w:start="108pt" w:hanging="9pt"/>
      </w:pPr>
    </w:lvl>
    <w:lvl w:ilvl="3" w:tplc="280A000F" w:tentative="1">
      <w:start w:val="1"/>
      <w:numFmt w:val="decimal"/>
      <w:lvlText w:val="%4."/>
      <w:lvlJc w:val="start"/>
      <w:pPr>
        <w:ind w:start="144pt" w:hanging="18pt"/>
      </w:pPr>
    </w:lvl>
    <w:lvl w:ilvl="4" w:tplc="280A0019" w:tentative="1">
      <w:start w:val="1"/>
      <w:numFmt w:val="lowerLetter"/>
      <w:lvlText w:val="%5."/>
      <w:lvlJc w:val="start"/>
      <w:pPr>
        <w:ind w:start="180pt" w:hanging="18pt"/>
      </w:pPr>
    </w:lvl>
    <w:lvl w:ilvl="5" w:tplc="280A001B" w:tentative="1">
      <w:start w:val="1"/>
      <w:numFmt w:val="lowerRoman"/>
      <w:lvlText w:val="%6."/>
      <w:lvlJc w:val="end"/>
      <w:pPr>
        <w:ind w:start="216pt" w:hanging="9pt"/>
      </w:pPr>
    </w:lvl>
    <w:lvl w:ilvl="6" w:tplc="280A000F" w:tentative="1">
      <w:start w:val="1"/>
      <w:numFmt w:val="decimal"/>
      <w:lvlText w:val="%7."/>
      <w:lvlJc w:val="start"/>
      <w:pPr>
        <w:ind w:start="252pt" w:hanging="18pt"/>
      </w:pPr>
    </w:lvl>
    <w:lvl w:ilvl="7" w:tplc="280A0019" w:tentative="1">
      <w:start w:val="1"/>
      <w:numFmt w:val="lowerLetter"/>
      <w:lvlText w:val="%8."/>
      <w:lvlJc w:val="start"/>
      <w:pPr>
        <w:ind w:start="288pt" w:hanging="18pt"/>
      </w:pPr>
    </w:lvl>
    <w:lvl w:ilvl="8" w:tplc="280A001B" w:tentative="1">
      <w:start w:val="1"/>
      <w:numFmt w:val="lowerRoman"/>
      <w:lvlText w:val="%9."/>
      <w:lvlJc w:val="end"/>
      <w:pPr>
        <w:ind w:start="324pt" w:hanging="9pt"/>
      </w:pPr>
    </w:lvl>
  </w:abstractNum>
  <w:abstractNum w:abstractNumId="28" w15:restartNumberingAfterBreak="0">
    <w:nsid w:val="64F42442"/>
    <w:multiLevelType w:val="hybridMultilevel"/>
    <w:tmpl w:val="B2002056"/>
    <w:lvl w:ilvl="0" w:tplc="90F23932">
      <w:start w:val="2"/>
      <w:numFmt w:val="bullet"/>
      <w:lvlText w:val=""/>
      <w:lvlJc w:val="start"/>
      <w:pPr>
        <w:ind w:start="54pt" w:hanging="18pt"/>
      </w:pPr>
      <w:rPr>
        <w:rFonts w:ascii="Symbol" w:eastAsiaTheme="minorHAnsi" w:hAnsi="Symbol" w:cstheme="minorBidi" w:hint="default"/>
      </w:rPr>
    </w:lvl>
    <w:lvl w:ilvl="1" w:tplc="280A0003" w:tentative="1">
      <w:start w:val="1"/>
      <w:numFmt w:val="bullet"/>
      <w:lvlText w:val="o"/>
      <w:lvlJc w:val="start"/>
      <w:pPr>
        <w:ind w:start="90pt" w:hanging="18pt"/>
      </w:pPr>
      <w:rPr>
        <w:rFonts w:ascii="Courier New" w:hAnsi="Courier New" w:cs="Courier New" w:hint="default"/>
      </w:rPr>
    </w:lvl>
    <w:lvl w:ilvl="2" w:tplc="280A0005" w:tentative="1">
      <w:start w:val="1"/>
      <w:numFmt w:val="bullet"/>
      <w:lvlText w:val=""/>
      <w:lvlJc w:val="start"/>
      <w:pPr>
        <w:ind w:start="126pt" w:hanging="18pt"/>
      </w:pPr>
      <w:rPr>
        <w:rFonts w:ascii="Wingdings" w:hAnsi="Wingdings" w:hint="default"/>
      </w:rPr>
    </w:lvl>
    <w:lvl w:ilvl="3" w:tplc="280A0001" w:tentative="1">
      <w:start w:val="1"/>
      <w:numFmt w:val="bullet"/>
      <w:lvlText w:val=""/>
      <w:lvlJc w:val="start"/>
      <w:pPr>
        <w:ind w:start="162pt" w:hanging="18pt"/>
      </w:pPr>
      <w:rPr>
        <w:rFonts w:ascii="Symbol" w:hAnsi="Symbol" w:hint="default"/>
      </w:rPr>
    </w:lvl>
    <w:lvl w:ilvl="4" w:tplc="280A0003" w:tentative="1">
      <w:start w:val="1"/>
      <w:numFmt w:val="bullet"/>
      <w:lvlText w:val="o"/>
      <w:lvlJc w:val="start"/>
      <w:pPr>
        <w:ind w:start="198pt" w:hanging="18pt"/>
      </w:pPr>
      <w:rPr>
        <w:rFonts w:ascii="Courier New" w:hAnsi="Courier New" w:cs="Courier New" w:hint="default"/>
      </w:rPr>
    </w:lvl>
    <w:lvl w:ilvl="5" w:tplc="280A0005" w:tentative="1">
      <w:start w:val="1"/>
      <w:numFmt w:val="bullet"/>
      <w:lvlText w:val=""/>
      <w:lvlJc w:val="start"/>
      <w:pPr>
        <w:ind w:start="234pt" w:hanging="18pt"/>
      </w:pPr>
      <w:rPr>
        <w:rFonts w:ascii="Wingdings" w:hAnsi="Wingdings" w:hint="default"/>
      </w:rPr>
    </w:lvl>
    <w:lvl w:ilvl="6" w:tplc="280A0001" w:tentative="1">
      <w:start w:val="1"/>
      <w:numFmt w:val="bullet"/>
      <w:lvlText w:val=""/>
      <w:lvlJc w:val="start"/>
      <w:pPr>
        <w:ind w:start="270pt" w:hanging="18pt"/>
      </w:pPr>
      <w:rPr>
        <w:rFonts w:ascii="Symbol" w:hAnsi="Symbol" w:hint="default"/>
      </w:rPr>
    </w:lvl>
    <w:lvl w:ilvl="7" w:tplc="280A0003" w:tentative="1">
      <w:start w:val="1"/>
      <w:numFmt w:val="bullet"/>
      <w:lvlText w:val="o"/>
      <w:lvlJc w:val="start"/>
      <w:pPr>
        <w:ind w:start="306pt" w:hanging="18pt"/>
      </w:pPr>
      <w:rPr>
        <w:rFonts w:ascii="Courier New" w:hAnsi="Courier New" w:cs="Courier New" w:hint="default"/>
      </w:rPr>
    </w:lvl>
    <w:lvl w:ilvl="8" w:tplc="280A0005" w:tentative="1">
      <w:start w:val="1"/>
      <w:numFmt w:val="bullet"/>
      <w:lvlText w:val=""/>
      <w:lvlJc w:val="start"/>
      <w:pPr>
        <w:ind w:start="342pt" w:hanging="18pt"/>
      </w:pPr>
      <w:rPr>
        <w:rFonts w:ascii="Wingdings" w:hAnsi="Wingdings" w:hint="default"/>
      </w:rPr>
    </w:lvl>
  </w:abstractNum>
  <w:abstractNum w:abstractNumId="29" w15:restartNumberingAfterBreak="0">
    <w:nsid w:val="69A10828"/>
    <w:multiLevelType w:val="multilevel"/>
    <w:tmpl w:val="AEC2E592"/>
    <w:lvl w:ilvl="0">
      <w:start w:val="3"/>
      <w:numFmt w:val="decimal"/>
      <w:lvlText w:val="%1"/>
      <w:lvlJc w:val="start"/>
      <w:pPr>
        <w:ind w:start="29.10pt" w:hanging="20.05pt"/>
      </w:pPr>
      <w:rPr>
        <w:rFonts w:hint="default"/>
        <w:lang w:val="es-ES" w:eastAsia="en-US" w:bidi="ar-SA"/>
      </w:rPr>
    </w:lvl>
    <w:lvl w:ilvl="1">
      <w:start w:val="1"/>
      <w:numFmt w:val="decimal"/>
      <w:lvlText w:val="%1.%2"/>
      <w:lvlJc w:val="start"/>
      <w:pPr>
        <w:ind w:start="29.10pt" w:hanging="20.05pt"/>
      </w:pPr>
      <w:rPr>
        <w:rFonts w:ascii="Arial" w:eastAsia="Arial" w:hAnsi="Arial" w:cs="Arial" w:hint="default"/>
        <w:b/>
        <w:bCs/>
        <w:w w:val="99%"/>
        <w:sz w:val="24"/>
        <w:szCs w:val="24"/>
        <w:lang w:val="es-ES" w:eastAsia="en-US" w:bidi="ar-SA"/>
      </w:rPr>
    </w:lvl>
    <w:lvl w:ilvl="2">
      <w:start w:val="1"/>
      <w:numFmt w:val="decimal"/>
      <w:lvlText w:val="%1.%2.%3"/>
      <w:lvlJc w:val="start"/>
      <w:pPr>
        <w:ind w:start="39.15pt" w:hanging="30.10pt"/>
      </w:pPr>
      <w:rPr>
        <w:rFonts w:ascii="Arial" w:eastAsia="Arial" w:hAnsi="Arial" w:cs="Arial" w:hint="default"/>
        <w:b/>
        <w:bCs/>
        <w:i/>
        <w:iCs/>
        <w:spacing w:val="-2"/>
        <w:w w:val="99%"/>
        <w:sz w:val="24"/>
        <w:szCs w:val="24"/>
        <w:lang w:val="es-ES" w:eastAsia="en-US" w:bidi="ar-SA"/>
      </w:rPr>
    </w:lvl>
    <w:lvl w:ilvl="3">
      <w:numFmt w:val="bullet"/>
      <w:lvlText w:val="•"/>
      <w:lvlJc w:val="start"/>
      <w:pPr>
        <w:ind w:start="132.80pt" w:hanging="30.10pt"/>
      </w:pPr>
      <w:rPr>
        <w:rFonts w:hint="default"/>
        <w:lang w:val="es-ES" w:eastAsia="en-US" w:bidi="ar-SA"/>
      </w:rPr>
    </w:lvl>
    <w:lvl w:ilvl="4">
      <w:numFmt w:val="bullet"/>
      <w:lvlText w:val="•"/>
      <w:lvlJc w:val="start"/>
      <w:pPr>
        <w:ind w:start="179.75pt" w:hanging="30.10pt"/>
      </w:pPr>
      <w:rPr>
        <w:rFonts w:hint="default"/>
        <w:lang w:val="es-ES" w:eastAsia="en-US" w:bidi="ar-SA"/>
      </w:rPr>
    </w:lvl>
    <w:lvl w:ilvl="5">
      <w:numFmt w:val="bullet"/>
      <w:lvlText w:val="•"/>
      <w:lvlJc w:val="start"/>
      <w:pPr>
        <w:ind w:start="226.65pt" w:hanging="30.10pt"/>
      </w:pPr>
      <w:rPr>
        <w:rFonts w:hint="default"/>
        <w:lang w:val="es-ES" w:eastAsia="en-US" w:bidi="ar-SA"/>
      </w:rPr>
    </w:lvl>
    <w:lvl w:ilvl="6">
      <w:numFmt w:val="bullet"/>
      <w:lvlText w:val="•"/>
      <w:lvlJc w:val="start"/>
      <w:pPr>
        <w:ind w:start="273.60pt" w:hanging="30.10pt"/>
      </w:pPr>
      <w:rPr>
        <w:rFonts w:hint="default"/>
        <w:lang w:val="es-ES" w:eastAsia="en-US" w:bidi="ar-SA"/>
      </w:rPr>
    </w:lvl>
    <w:lvl w:ilvl="7">
      <w:numFmt w:val="bullet"/>
      <w:lvlText w:val="•"/>
      <w:lvlJc w:val="start"/>
      <w:pPr>
        <w:ind w:start="320.50pt" w:hanging="30.10pt"/>
      </w:pPr>
      <w:rPr>
        <w:rFonts w:hint="default"/>
        <w:lang w:val="es-ES" w:eastAsia="en-US" w:bidi="ar-SA"/>
      </w:rPr>
    </w:lvl>
    <w:lvl w:ilvl="8">
      <w:numFmt w:val="bullet"/>
      <w:lvlText w:val="•"/>
      <w:lvlJc w:val="start"/>
      <w:pPr>
        <w:ind w:start="367.45pt" w:hanging="30.10pt"/>
      </w:pPr>
      <w:rPr>
        <w:rFonts w:hint="default"/>
        <w:lang w:val="es-ES" w:eastAsia="en-US" w:bidi="ar-SA"/>
      </w:rPr>
    </w:lvl>
  </w:abstractNum>
  <w:abstractNum w:abstractNumId="30" w15:restartNumberingAfterBreak="0">
    <w:nsid w:val="6C9F5399"/>
    <w:multiLevelType w:val="hybridMultilevel"/>
    <w:tmpl w:val="979004F4"/>
    <w:lvl w:ilvl="0" w:tplc="6FC8AFA0">
      <w:start w:val="1"/>
      <w:numFmt w:val="lowerLetter"/>
      <w:lvlText w:val="%1)"/>
      <w:lvlJc w:val="start"/>
      <w:pPr>
        <w:ind w:start="9.10pt" w:hanging="34.80pt"/>
      </w:pPr>
      <w:rPr>
        <w:rFonts w:ascii="Arial MT" w:eastAsia="Arial MT" w:hAnsi="Arial MT" w:cs="Arial MT" w:hint="default"/>
        <w:w w:val="99%"/>
        <w:sz w:val="24"/>
        <w:szCs w:val="24"/>
        <w:lang w:val="es-ES" w:eastAsia="en-US" w:bidi="ar-SA"/>
      </w:rPr>
    </w:lvl>
    <w:lvl w:ilvl="1" w:tplc="26DE5D4A">
      <w:numFmt w:val="bullet"/>
      <w:lvlText w:val="•"/>
      <w:lvlJc w:val="start"/>
      <w:pPr>
        <w:ind w:start="54.20pt" w:hanging="34.80pt"/>
      </w:pPr>
      <w:rPr>
        <w:rFonts w:hint="default"/>
        <w:lang w:val="es-ES" w:eastAsia="en-US" w:bidi="ar-SA"/>
      </w:rPr>
    </w:lvl>
    <w:lvl w:ilvl="2" w:tplc="4A4485CA">
      <w:numFmt w:val="bullet"/>
      <w:lvlText w:val="•"/>
      <w:lvlJc w:val="start"/>
      <w:pPr>
        <w:ind w:start="99.45pt" w:hanging="34.80pt"/>
      </w:pPr>
      <w:rPr>
        <w:rFonts w:hint="default"/>
        <w:lang w:val="es-ES" w:eastAsia="en-US" w:bidi="ar-SA"/>
      </w:rPr>
    </w:lvl>
    <w:lvl w:ilvl="3" w:tplc="3FF62800">
      <w:numFmt w:val="bullet"/>
      <w:lvlText w:val="•"/>
      <w:lvlJc w:val="start"/>
      <w:pPr>
        <w:ind w:start="144.65pt" w:hanging="34.80pt"/>
      </w:pPr>
      <w:rPr>
        <w:rFonts w:hint="default"/>
        <w:lang w:val="es-ES" w:eastAsia="en-US" w:bidi="ar-SA"/>
      </w:rPr>
    </w:lvl>
    <w:lvl w:ilvl="4" w:tplc="05F865CE">
      <w:numFmt w:val="bullet"/>
      <w:lvlText w:val="•"/>
      <w:lvlJc w:val="start"/>
      <w:pPr>
        <w:ind w:start="189.90pt" w:hanging="34.80pt"/>
      </w:pPr>
      <w:rPr>
        <w:rFonts w:hint="default"/>
        <w:lang w:val="es-ES" w:eastAsia="en-US" w:bidi="ar-SA"/>
      </w:rPr>
    </w:lvl>
    <w:lvl w:ilvl="5" w:tplc="1C1E3338">
      <w:numFmt w:val="bullet"/>
      <w:lvlText w:val="•"/>
      <w:lvlJc w:val="start"/>
      <w:pPr>
        <w:ind w:start="235.15pt" w:hanging="34.80pt"/>
      </w:pPr>
      <w:rPr>
        <w:rFonts w:hint="default"/>
        <w:lang w:val="es-ES" w:eastAsia="en-US" w:bidi="ar-SA"/>
      </w:rPr>
    </w:lvl>
    <w:lvl w:ilvl="6" w:tplc="36745434">
      <w:numFmt w:val="bullet"/>
      <w:lvlText w:val="•"/>
      <w:lvlJc w:val="start"/>
      <w:pPr>
        <w:ind w:start="280.35pt" w:hanging="34.80pt"/>
      </w:pPr>
      <w:rPr>
        <w:rFonts w:hint="default"/>
        <w:lang w:val="es-ES" w:eastAsia="en-US" w:bidi="ar-SA"/>
      </w:rPr>
    </w:lvl>
    <w:lvl w:ilvl="7" w:tplc="AA62F0EE">
      <w:numFmt w:val="bullet"/>
      <w:lvlText w:val="•"/>
      <w:lvlJc w:val="start"/>
      <w:pPr>
        <w:ind w:start="325.60pt" w:hanging="34.80pt"/>
      </w:pPr>
      <w:rPr>
        <w:rFonts w:hint="default"/>
        <w:lang w:val="es-ES" w:eastAsia="en-US" w:bidi="ar-SA"/>
      </w:rPr>
    </w:lvl>
    <w:lvl w:ilvl="8" w:tplc="9EA21F64">
      <w:numFmt w:val="bullet"/>
      <w:lvlText w:val="•"/>
      <w:lvlJc w:val="start"/>
      <w:pPr>
        <w:ind w:start="370.85pt" w:hanging="34.80pt"/>
      </w:pPr>
      <w:rPr>
        <w:rFonts w:hint="default"/>
        <w:lang w:val="es-ES" w:eastAsia="en-US" w:bidi="ar-SA"/>
      </w:rPr>
    </w:lvl>
  </w:abstractNum>
  <w:abstractNum w:abstractNumId="31" w15:restartNumberingAfterBreak="0">
    <w:nsid w:val="75ED56C6"/>
    <w:multiLevelType w:val="hybridMultilevel"/>
    <w:tmpl w:val="87347102"/>
    <w:lvl w:ilvl="0" w:tplc="280A000D">
      <w:start w:val="1"/>
      <w:numFmt w:val="bullet"/>
      <w:lvlText w:val=""/>
      <w:lvlJc w:val="start"/>
      <w:pPr>
        <w:ind w:start="36pt" w:hanging="18pt"/>
      </w:pPr>
      <w:rPr>
        <w:rFonts w:ascii="Wingdings" w:hAnsi="Wingdings" w:hint="default"/>
      </w:rPr>
    </w:lvl>
    <w:lvl w:ilvl="1" w:tplc="280A0003" w:tentative="1">
      <w:start w:val="1"/>
      <w:numFmt w:val="bullet"/>
      <w:lvlText w:val="o"/>
      <w:lvlJc w:val="start"/>
      <w:pPr>
        <w:ind w:start="72pt" w:hanging="18pt"/>
      </w:pPr>
      <w:rPr>
        <w:rFonts w:ascii="Courier New" w:hAnsi="Courier New" w:cs="Courier New" w:hint="default"/>
      </w:rPr>
    </w:lvl>
    <w:lvl w:ilvl="2" w:tplc="280A0005" w:tentative="1">
      <w:start w:val="1"/>
      <w:numFmt w:val="bullet"/>
      <w:lvlText w:val=""/>
      <w:lvlJc w:val="start"/>
      <w:pPr>
        <w:ind w:start="108pt" w:hanging="18pt"/>
      </w:pPr>
      <w:rPr>
        <w:rFonts w:ascii="Wingdings" w:hAnsi="Wingdings" w:hint="default"/>
      </w:rPr>
    </w:lvl>
    <w:lvl w:ilvl="3" w:tplc="280A0001" w:tentative="1">
      <w:start w:val="1"/>
      <w:numFmt w:val="bullet"/>
      <w:lvlText w:val=""/>
      <w:lvlJc w:val="start"/>
      <w:pPr>
        <w:ind w:start="144pt" w:hanging="18pt"/>
      </w:pPr>
      <w:rPr>
        <w:rFonts w:ascii="Symbol" w:hAnsi="Symbol" w:hint="default"/>
      </w:rPr>
    </w:lvl>
    <w:lvl w:ilvl="4" w:tplc="280A0003" w:tentative="1">
      <w:start w:val="1"/>
      <w:numFmt w:val="bullet"/>
      <w:lvlText w:val="o"/>
      <w:lvlJc w:val="start"/>
      <w:pPr>
        <w:ind w:start="180pt" w:hanging="18pt"/>
      </w:pPr>
      <w:rPr>
        <w:rFonts w:ascii="Courier New" w:hAnsi="Courier New" w:cs="Courier New" w:hint="default"/>
      </w:rPr>
    </w:lvl>
    <w:lvl w:ilvl="5" w:tplc="280A0005" w:tentative="1">
      <w:start w:val="1"/>
      <w:numFmt w:val="bullet"/>
      <w:lvlText w:val=""/>
      <w:lvlJc w:val="start"/>
      <w:pPr>
        <w:ind w:start="216pt" w:hanging="18pt"/>
      </w:pPr>
      <w:rPr>
        <w:rFonts w:ascii="Wingdings" w:hAnsi="Wingdings" w:hint="default"/>
      </w:rPr>
    </w:lvl>
    <w:lvl w:ilvl="6" w:tplc="280A0001" w:tentative="1">
      <w:start w:val="1"/>
      <w:numFmt w:val="bullet"/>
      <w:lvlText w:val=""/>
      <w:lvlJc w:val="start"/>
      <w:pPr>
        <w:ind w:start="252pt" w:hanging="18pt"/>
      </w:pPr>
      <w:rPr>
        <w:rFonts w:ascii="Symbol" w:hAnsi="Symbol" w:hint="default"/>
      </w:rPr>
    </w:lvl>
    <w:lvl w:ilvl="7" w:tplc="280A0003" w:tentative="1">
      <w:start w:val="1"/>
      <w:numFmt w:val="bullet"/>
      <w:lvlText w:val="o"/>
      <w:lvlJc w:val="start"/>
      <w:pPr>
        <w:ind w:start="288pt" w:hanging="18pt"/>
      </w:pPr>
      <w:rPr>
        <w:rFonts w:ascii="Courier New" w:hAnsi="Courier New" w:cs="Courier New" w:hint="default"/>
      </w:rPr>
    </w:lvl>
    <w:lvl w:ilvl="8" w:tplc="280A0005" w:tentative="1">
      <w:start w:val="1"/>
      <w:numFmt w:val="bullet"/>
      <w:lvlText w:val=""/>
      <w:lvlJc w:val="start"/>
      <w:pPr>
        <w:ind w:start="324pt" w:hanging="18pt"/>
      </w:pPr>
      <w:rPr>
        <w:rFonts w:ascii="Wingdings" w:hAnsi="Wingdings" w:hint="default"/>
      </w:rPr>
    </w:lvl>
  </w:abstractNum>
  <w:abstractNum w:abstractNumId="32" w15:restartNumberingAfterBreak="0">
    <w:nsid w:val="77AC6189"/>
    <w:multiLevelType w:val="hybridMultilevel"/>
    <w:tmpl w:val="A3522FC4"/>
    <w:lvl w:ilvl="0" w:tplc="280A000F">
      <w:start w:val="1"/>
      <w:numFmt w:val="decimal"/>
      <w:lvlText w:val="%1."/>
      <w:lvlJc w:val="start"/>
      <w:pPr>
        <w:ind w:start="36pt" w:hanging="18pt"/>
      </w:pPr>
      <w:rPr>
        <w:rFonts w:hint="default"/>
      </w:rPr>
    </w:lvl>
    <w:lvl w:ilvl="1" w:tplc="280A0019" w:tentative="1">
      <w:start w:val="1"/>
      <w:numFmt w:val="lowerLetter"/>
      <w:lvlText w:val="%2."/>
      <w:lvlJc w:val="start"/>
      <w:pPr>
        <w:ind w:start="72pt" w:hanging="18pt"/>
      </w:pPr>
    </w:lvl>
    <w:lvl w:ilvl="2" w:tplc="280A001B" w:tentative="1">
      <w:start w:val="1"/>
      <w:numFmt w:val="lowerRoman"/>
      <w:lvlText w:val="%3."/>
      <w:lvlJc w:val="end"/>
      <w:pPr>
        <w:ind w:start="108pt" w:hanging="9pt"/>
      </w:pPr>
    </w:lvl>
    <w:lvl w:ilvl="3" w:tplc="280A000F" w:tentative="1">
      <w:start w:val="1"/>
      <w:numFmt w:val="decimal"/>
      <w:lvlText w:val="%4."/>
      <w:lvlJc w:val="start"/>
      <w:pPr>
        <w:ind w:start="144pt" w:hanging="18pt"/>
      </w:pPr>
    </w:lvl>
    <w:lvl w:ilvl="4" w:tplc="280A0019" w:tentative="1">
      <w:start w:val="1"/>
      <w:numFmt w:val="lowerLetter"/>
      <w:lvlText w:val="%5."/>
      <w:lvlJc w:val="start"/>
      <w:pPr>
        <w:ind w:start="180pt" w:hanging="18pt"/>
      </w:pPr>
    </w:lvl>
    <w:lvl w:ilvl="5" w:tplc="280A001B" w:tentative="1">
      <w:start w:val="1"/>
      <w:numFmt w:val="lowerRoman"/>
      <w:lvlText w:val="%6."/>
      <w:lvlJc w:val="end"/>
      <w:pPr>
        <w:ind w:start="216pt" w:hanging="9pt"/>
      </w:pPr>
    </w:lvl>
    <w:lvl w:ilvl="6" w:tplc="280A000F" w:tentative="1">
      <w:start w:val="1"/>
      <w:numFmt w:val="decimal"/>
      <w:lvlText w:val="%7."/>
      <w:lvlJc w:val="start"/>
      <w:pPr>
        <w:ind w:start="252pt" w:hanging="18pt"/>
      </w:pPr>
    </w:lvl>
    <w:lvl w:ilvl="7" w:tplc="280A0019" w:tentative="1">
      <w:start w:val="1"/>
      <w:numFmt w:val="lowerLetter"/>
      <w:lvlText w:val="%8."/>
      <w:lvlJc w:val="start"/>
      <w:pPr>
        <w:ind w:start="288pt" w:hanging="18pt"/>
      </w:pPr>
    </w:lvl>
    <w:lvl w:ilvl="8" w:tplc="280A001B" w:tentative="1">
      <w:start w:val="1"/>
      <w:numFmt w:val="lowerRoman"/>
      <w:lvlText w:val="%9."/>
      <w:lvlJc w:val="end"/>
      <w:pPr>
        <w:ind w:start="324pt" w:hanging="9pt"/>
      </w:pPr>
    </w:lvl>
  </w:abstractNum>
  <w:abstractNum w:abstractNumId="33" w15:restartNumberingAfterBreak="0">
    <w:nsid w:val="7B7C0D18"/>
    <w:multiLevelType w:val="multilevel"/>
    <w:tmpl w:val="9F4486D4"/>
    <w:lvl w:ilvl="0">
      <w:start w:val="1"/>
      <w:numFmt w:val="decimal"/>
      <w:lvlText w:val="%1."/>
      <w:lvlJc w:val="start"/>
      <w:pPr>
        <w:ind w:start="36pt" w:hanging="18pt"/>
      </w:pPr>
      <w:rPr>
        <w:rFonts w:hint="default"/>
      </w:rPr>
    </w:lvl>
    <w:lvl w:ilvl="1">
      <w:start w:val="1"/>
      <w:numFmt w:val="decimal"/>
      <w:isLgl/>
      <w:lvlText w:val="%1.%2."/>
      <w:lvlJc w:val="start"/>
      <w:pPr>
        <w:ind w:start="36pt" w:hanging="18pt"/>
      </w:pPr>
      <w:rPr>
        <w:rFonts w:hint="default"/>
      </w:rPr>
    </w:lvl>
    <w:lvl w:ilvl="2">
      <w:start w:val="1"/>
      <w:numFmt w:val="decimal"/>
      <w:pStyle w:val="Estilo4"/>
      <w:isLgl/>
      <w:lvlText w:val="%1.%2.%3."/>
      <w:lvlJc w:val="start"/>
      <w:pPr>
        <w:ind w:start="54pt" w:hanging="36pt"/>
      </w:pPr>
      <w:rPr>
        <w:rFonts w:hint="default"/>
      </w:rPr>
    </w:lvl>
    <w:lvl w:ilvl="3">
      <w:start w:val="1"/>
      <w:numFmt w:val="decimal"/>
      <w:isLgl/>
      <w:lvlText w:val="%1.%2.%3.%4."/>
      <w:lvlJc w:val="start"/>
      <w:pPr>
        <w:ind w:start="54pt" w:hanging="36pt"/>
      </w:pPr>
      <w:rPr>
        <w:rFonts w:hint="default"/>
      </w:rPr>
    </w:lvl>
    <w:lvl w:ilvl="4">
      <w:start w:val="1"/>
      <w:numFmt w:val="decimal"/>
      <w:isLgl/>
      <w:lvlText w:val="%1.%2.%3.%4.%5."/>
      <w:lvlJc w:val="start"/>
      <w:pPr>
        <w:ind w:start="72pt" w:hanging="54pt"/>
      </w:pPr>
      <w:rPr>
        <w:rFonts w:hint="default"/>
      </w:rPr>
    </w:lvl>
    <w:lvl w:ilvl="5">
      <w:start w:val="1"/>
      <w:numFmt w:val="decimal"/>
      <w:isLgl/>
      <w:lvlText w:val="%1.%2.%3.%4.%5.%6."/>
      <w:lvlJc w:val="start"/>
      <w:pPr>
        <w:ind w:start="72pt" w:hanging="54pt"/>
      </w:pPr>
      <w:rPr>
        <w:rFonts w:hint="default"/>
      </w:rPr>
    </w:lvl>
    <w:lvl w:ilvl="6">
      <w:start w:val="1"/>
      <w:numFmt w:val="decimal"/>
      <w:isLgl/>
      <w:lvlText w:val="%1.%2.%3.%4.%5.%6.%7."/>
      <w:lvlJc w:val="start"/>
      <w:pPr>
        <w:ind w:start="90pt" w:hanging="72pt"/>
      </w:pPr>
      <w:rPr>
        <w:rFonts w:hint="default"/>
      </w:rPr>
    </w:lvl>
    <w:lvl w:ilvl="7">
      <w:start w:val="1"/>
      <w:numFmt w:val="decimal"/>
      <w:isLgl/>
      <w:lvlText w:val="%1.%2.%3.%4.%5.%6.%7.%8."/>
      <w:lvlJc w:val="start"/>
      <w:pPr>
        <w:ind w:start="90pt" w:hanging="72pt"/>
      </w:pPr>
      <w:rPr>
        <w:rFonts w:hint="default"/>
      </w:rPr>
    </w:lvl>
    <w:lvl w:ilvl="8">
      <w:start w:val="1"/>
      <w:numFmt w:val="decimal"/>
      <w:isLgl/>
      <w:lvlText w:val="%1.%2.%3.%4.%5.%6.%7.%8.%9."/>
      <w:lvlJc w:val="start"/>
      <w:pPr>
        <w:ind w:start="108pt" w:hanging="90pt"/>
      </w:pPr>
      <w:rPr>
        <w:rFonts w:hint="default"/>
      </w:rPr>
    </w:lvl>
  </w:abstractNum>
  <w:abstractNum w:abstractNumId="34" w15:restartNumberingAfterBreak="0">
    <w:nsid w:val="7DCF4114"/>
    <w:multiLevelType w:val="multilevel"/>
    <w:tmpl w:val="D6ECCBF6"/>
    <w:lvl w:ilvl="0">
      <w:start w:val="1"/>
      <w:numFmt w:val="decimal"/>
      <w:pStyle w:val="07listanumerada"/>
      <w:lvlText w:val="%1."/>
      <w:lvlJc w:val="start"/>
      <w:pPr>
        <w:tabs>
          <w:tab w:val="num" w:pos="36pt"/>
        </w:tabs>
        <w:ind w:start="36pt" w:hanging="36pt"/>
      </w:pPr>
    </w:lvl>
    <w:lvl w:ilvl="1">
      <w:start w:val="1"/>
      <w:numFmt w:val="decimal"/>
      <w:lvlText w:val="%2."/>
      <w:lvlJc w:val="start"/>
      <w:pPr>
        <w:tabs>
          <w:tab w:val="num" w:pos="72pt"/>
        </w:tabs>
        <w:ind w:start="72pt" w:hanging="36pt"/>
      </w:pPr>
    </w:lvl>
    <w:lvl w:ilvl="2">
      <w:start w:val="1"/>
      <w:numFmt w:val="decimal"/>
      <w:lvlText w:val="%3."/>
      <w:lvlJc w:val="start"/>
      <w:pPr>
        <w:tabs>
          <w:tab w:val="num" w:pos="108pt"/>
        </w:tabs>
        <w:ind w:start="108pt" w:hanging="36pt"/>
      </w:pPr>
    </w:lvl>
    <w:lvl w:ilvl="3">
      <w:start w:val="1"/>
      <w:numFmt w:val="decimal"/>
      <w:lvlText w:val="%4."/>
      <w:lvlJc w:val="start"/>
      <w:pPr>
        <w:tabs>
          <w:tab w:val="num" w:pos="144pt"/>
        </w:tabs>
        <w:ind w:start="144pt" w:hanging="36pt"/>
      </w:pPr>
    </w:lvl>
    <w:lvl w:ilvl="4">
      <w:start w:val="1"/>
      <w:numFmt w:val="decimal"/>
      <w:lvlText w:val="%5."/>
      <w:lvlJc w:val="start"/>
      <w:pPr>
        <w:tabs>
          <w:tab w:val="num" w:pos="180pt"/>
        </w:tabs>
        <w:ind w:start="180pt" w:hanging="36pt"/>
      </w:pPr>
    </w:lvl>
    <w:lvl w:ilvl="5">
      <w:start w:val="1"/>
      <w:numFmt w:val="decimal"/>
      <w:lvlText w:val="%6."/>
      <w:lvlJc w:val="start"/>
      <w:pPr>
        <w:tabs>
          <w:tab w:val="num" w:pos="216pt"/>
        </w:tabs>
        <w:ind w:start="216pt" w:hanging="36pt"/>
      </w:pPr>
    </w:lvl>
    <w:lvl w:ilvl="6">
      <w:start w:val="1"/>
      <w:numFmt w:val="decimal"/>
      <w:lvlText w:val="%7."/>
      <w:lvlJc w:val="start"/>
      <w:pPr>
        <w:tabs>
          <w:tab w:val="num" w:pos="252pt"/>
        </w:tabs>
        <w:ind w:start="252pt" w:hanging="36pt"/>
      </w:pPr>
    </w:lvl>
    <w:lvl w:ilvl="7">
      <w:start w:val="1"/>
      <w:numFmt w:val="decimal"/>
      <w:lvlText w:val="%8."/>
      <w:lvlJc w:val="start"/>
      <w:pPr>
        <w:tabs>
          <w:tab w:val="num" w:pos="288pt"/>
        </w:tabs>
        <w:ind w:start="288pt" w:hanging="36pt"/>
      </w:pPr>
    </w:lvl>
    <w:lvl w:ilvl="8">
      <w:start w:val="1"/>
      <w:numFmt w:val="decimal"/>
      <w:lvlText w:val="%9."/>
      <w:lvlJc w:val="start"/>
      <w:pPr>
        <w:tabs>
          <w:tab w:val="num" w:pos="324pt"/>
        </w:tabs>
        <w:ind w:start="324pt" w:hanging="36pt"/>
      </w:pPr>
    </w:lvl>
  </w:abstractNum>
  <w:num w:numId="1">
    <w:abstractNumId w:val="0"/>
    <w:lvlOverride w:ilvl="0">
      <w:lvl w:ilvl="0">
        <w:start w:val="1"/>
        <w:numFmt w:val="bullet"/>
        <w:pStyle w:val="Listaconvietas"/>
        <w:lvlText w:val=""/>
        <w:lvlJc w:val="start"/>
        <w:pPr>
          <w:ind w:start="36pt" w:hanging="18pt"/>
        </w:pPr>
        <w:rPr>
          <w:rFonts w:ascii="Wingdings" w:hAnsi="Wingdings" w:hint="default"/>
          <w:sz w:val="12"/>
        </w:rPr>
      </w:lvl>
    </w:lvlOverride>
  </w:num>
  <w:num w:numId="2">
    <w:abstractNumId w:val="25"/>
  </w:num>
  <w:num w:numId="3">
    <w:abstractNumId w:val="33"/>
  </w:num>
  <w:num w:numId="4">
    <w:abstractNumId w:val="24"/>
  </w:num>
  <w:num w:numId="5">
    <w:abstractNumId w:val="22"/>
  </w:num>
  <w:num w:numId="6">
    <w:abstractNumId w:val="3"/>
  </w:num>
  <w:num w:numId="7">
    <w:abstractNumId w:val="8"/>
  </w:num>
  <w:num w:numId="8">
    <w:abstractNumId w:val="9"/>
  </w:num>
  <w:num w:numId="9">
    <w:abstractNumId w:val="13"/>
  </w:num>
  <w:num w:numId="10">
    <w:abstractNumId w:val="26"/>
  </w:num>
  <w:num w:numId="11">
    <w:abstractNumId w:val="11"/>
  </w:num>
  <w:num w:numId="12">
    <w:abstractNumId w:val="6"/>
  </w:num>
  <w:num w:numId="13">
    <w:abstractNumId w:val="23"/>
  </w:num>
  <w:num w:numId="14">
    <w:abstractNumId w:val="21"/>
  </w:num>
  <w:num w:numId="15">
    <w:abstractNumId w:val="32"/>
  </w:num>
  <w:num w:numId="16">
    <w:abstractNumId w:val="20"/>
  </w:num>
  <w:num w:numId="17">
    <w:abstractNumId w:val="1"/>
  </w:num>
  <w:num w:numId="18">
    <w:abstractNumId w:val="28"/>
  </w:num>
  <w:num w:numId="19">
    <w:abstractNumId w:val="31"/>
  </w:num>
  <w:num w:numId="20">
    <w:abstractNumId w:val="19"/>
  </w:num>
  <w:num w:numId="21">
    <w:abstractNumId w:val="10"/>
  </w:num>
  <w:num w:numId="22">
    <w:abstractNumId w:val="4"/>
  </w:num>
  <w:num w:numId="23">
    <w:abstractNumId w:val="16"/>
  </w:num>
  <w:num w:numId="24">
    <w:abstractNumId w:val="29"/>
  </w:num>
  <w:num w:numId="25">
    <w:abstractNumId w:val="30"/>
  </w:num>
  <w:num w:numId="26">
    <w:abstractNumId w:val="18"/>
  </w:num>
  <w:num w:numId="27">
    <w:abstractNumId w:val="12"/>
  </w:num>
  <w:num w:numId="28">
    <w:abstractNumId w:val="14"/>
  </w:num>
  <w:num w:numId="29">
    <w:abstractNumId w:val="2"/>
  </w:num>
  <w:num w:numId="30">
    <w:abstractNumId w:val="17"/>
  </w:num>
  <w:num w:numId="31">
    <w:abstractNumId w:val="27"/>
  </w:num>
  <w:num w:numId="32">
    <w:abstractNumId w:val="7"/>
  </w:num>
  <w:num w:numId="33">
    <w:abstractNumId w:val="15"/>
  </w:num>
  <w:num w:numId="34">
    <w:abstractNumId w:val="34"/>
  </w:num>
  <w:num w:numId="35">
    <w:abstractNumId w:val="5"/>
  </w:num>
  <w:numIdMacAtCleanup w:val="4"/>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5.40pt"/>
  <w:hyphenationZone w:val="21.25pt"/>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FFB"/>
    <w:rsid w:val="00006521"/>
    <w:rsid w:val="000348DC"/>
    <w:rsid w:val="00047107"/>
    <w:rsid w:val="000525E5"/>
    <w:rsid w:val="0005584E"/>
    <w:rsid w:val="00066743"/>
    <w:rsid w:val="00092088"/>
    <w:rsid w:val="000A310A"/>
    <w:rsid w:val="000B696B"/>
    <w:rsid w:val="000D03A9"/>
    <w:rsid w:val="000D31BD"/>
    <w:rsid w:val="000E3118"/>
    <w:rsid w:val="00135B93"/>
    <w:rsid w:val="00174D2A"/>
    <w:rsid w:val="001A3BBA"/>
    <w:rsid w:val="001E6082"/>
    <w:rsid w:val="00220796"/>
    <w:rsid w:val="00243643"/>
    <w:rsid w:val="002522BB"/>
    <w:rsid w:val="00260272"/>
    <w:rsid w:val="00291B7B"/>
    <w:rsid w:val="00295CC1"/>
    <w:rsid w:val="0029731D"/>
    <w:rsid w:val="002A6591"/>
    <w:rsid w:val="002C3C7D"/>
    <w:rsid w:val="00344838"/>
    <w:rsid w:val="00344F02"/>
    <w:rsid w:val="0034568D"/>
    <w:rsid w:val="00356031"/>
    <w:rsid w:val="00376A6A"/>
    <w:rsid w:val="00384F1B"/>
    <w:rsid w:val="003E463F"/>
    <w:rsid w:val="003E7EFD"/>
    <w:rsid w:val="004144C4"/>
    <w:rsid w:val="00443AD2"/>
    <w:rsid w:val="004515BC"/>
    <w:rsid w:val="004515F3"/>
    <w:rsid w:val="00481241"/>
    <w:rsid w:val="004C21E9"/>
    <w:rsid w:val="00506199"/>
    <w:rsid w:val="00535B3D"/>
    <w:rsid w:val="00573A04"/>
    <w:rsid w:val="0058764C"/>
    <w:rsid w:val="005B6F47"/>
    <w:rsid w:val="005D1CF6"/>
    <w:rsid w:val="005E04A5"/>
    <w:rsid w:val="0060026C"/>
    <w:rsid w:val="00611E9E"/>
    <w:rsid w:val="006777A2"/>
    <w:rsid w:val="006E2C19"/>
    <w:rsid w:val="006E3F4D"/>
    <w:rsid w:val="00702366"/>
    <w:rsid w:val="007A2EE6"/>
    <w:rsid w:val="007B7391"/>
    <w:rsid w:val="007D4B8A"/>
    <w:rsid w:val="007E00BD"/>
    <w:rsid w:val="008110F0"/>
    <w:rsid w:val="0081424E"/>
    <w:rsid w:val="008734C5"/>
    <w:rsid w:val="00876AEE"/>
    <w:rsid w:val="00896A10"/>
    <w:rsid w:val="008976CB"/>
    <w:rsid w:val="008A1537"/>
    <w:rsid w:val="008B4355"/>
    <w:rsid w:val="008C3158"/>
    <w:rsid w:val="008C3D32"/>
    <w:rsid w:val="008D48FB"/>
    <w:rsid w:val="00932DD7"/>
    <w:rsid w:val="009354ED"/>
    <w:rsid w:val="00997177"/>
    <w:rsid w:val="009D304C"/>
    <w:rsid w:val="009D7A6A"/>
    <w:rsid w:val="009F0FFB"/>
    <w:rsid w:val="009F424A"/>
    <w:rsid w:val="009F54F9"/>
    <w:rsid w:val="00A01103"/>
    <w:rsid w:val="00AD184F"/>
    <w:rsid w:val="00B5434A"/>
    <w:rsid w:val="00B75EE6"/>
    <w:rsid w:val="00B845A7"/>
    <w:rsid w:val="00B944C9"/>
    <w:rsid w:val="00BB7CD3"/>
    <w:rsid w:val="00BC6886"/>
    <w:rsid w:val="00BD438C"/>
    <w:rsid w:val="00BE14D6"/>
    <w:rsid w:val="00C0608D"/>
    <w:rsid w:val="00C07E66"/>
    <w:rsid w:val="00C479EC"/>
    <w:rsid w:val="00C6283D"/>
    <w:rsid w:val="00CB0E46"/>
    <w:rsid w:val="00CE7063"/>
    <w:rsid w:val="00D02084"/>
    <w:rsid w:val="00D2136D"/>
    <w:rsid w:val="00D26FC0"/>
    <w:rsid w:val="00D323EE"/>
    <w:rsid w:val="00DD17C2"/>
    <w:rsid w:val="00DD206D"/>
    <w:rsid w:val="00DF2BFA"/>
    <w:rsid w:val="00E04B52"/>
    <w:rsid w:val="00E41478"/>
    <w:rsid w:val="00E72EDE"/>
    <w:rsid w:val="00E845CC"/>
    <w:rsid w:val="00E846BA"/>
    <w:rsid w:val="00EA4814"/>
    <w:rsid w:val="00F35937"/>
    <w:rsid w:val="00F768AC"/>
    <w:rsid w:val="00F80C17"/>
    <w:rsid w:val="00FC52D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28D381E2"/>
  <w15:chartTrackingRefBased/>
  <w15:docId w15:val="{8A7A841F-4C3E-214C-A48D-C30B95D9E906}"/>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lang w:val="es-ES"/>
    </w:rPr>
  </w:style>
  <w:style w:type="paragraph" w:styleId="Ttulo1">
    <w:name w:val="heading 1"/>
    <w:aliases w:val="Apa_nivel1,Nivel 1"/>
    <w:basedOn w:val="Normal"/>
    <w:next w:val="Normal"/>
    <w:link w:val="Ttulo1Car"/>
    <w:qFormat/>
    <w:rsid w:val="0058764C"/>
    <w:pPr>
      <w:keepNext/>
      <w:keepLines/>
      <w:spacing w:before="12pt"/>
      <w:outlineLvl w:val="0"/>
    </w:pPr>
    <w:rPr>
      <w:rFonts w:ascii="Times New Roman" w:eastAsia="Times New Roman" w:hAnsi="Times New Roman" w:cs="Times New Roman"/>
      <w:b/>
      <w:noProof w:val="0"/>
      <w:szCs w:val="32"/>
    </w:rPr>
  </w:style>
  <w:style w:type="paragraph" w:styleId="Ttulo2">
    <w:name w:val="heading 2"/>
    <w:aliases w:val="Apa_nivel2,Titulo preliminar,Nivel 1.1"/>
    <w:basedOn w:val="Normal"/>
    <w:next w:val="Normal"/>
    <w:link w:val="Ttulo2Car"/>
    <w:unhideWhenUsed/>
    <w:qFormat/>
    <w:rsid w:val="0058764C"/>
    <w:pPr>
      <w:keepNext/>
      <w:keepLines/>
      <w:spacing w:before="2pt"/>
      <w:outlineLvl w:val="1"/>
    </w:pPr>
    <w:rPr>
      <w:rFonts w:ascii="Times New Roman" w:eastAsia="Times New Roman" w:hAnsi="Times New Roman" w:cs="Times New Roman"/>
      <w:b/>
      <w:noProof w:val="0"/>
      <w:szCs w:val="26"/>
      <w:lang w:val="es-PE"/>
    </w:rPr>
  </w:style>
  <w:style w:type="paragraph" w:styleId="Ttulo3">
    <w:name w:val="heading 3"/>
    <w:basedOn w:val="Normal"/>
    <w:next w:val="Normal"/>
    <w:link w:val="Ttulo3Car"/>
    <w:unhideWhenUsed/>
    <w:qFormat/>
    <w:rsid w:val="0058764C"/>
    <w:pPr>
      <w:keepNext/>
      <w:keepLines/>
      <w:spacing w:before="2pt"/>
      <w:outlineLvl w:val="2"/>
    </w:pPr>
    <w:rPr>
      <w:rFonts w:ascii="Times New Roman" w:eastAsia="Times New Roman" w:hAnsi="Times New Roman" w:cs="Times New Roman"/>
      <w:b/>
      <w:noProof w:val="0"/>
      <w:lang w:val="es-PE"/>
    </w:rPr>
  </w:style>
  <w:style w:type="paragraph" w:styleId="Ttulo4">
    <w:name w:val="heading 4"/>
    <w:basedOn w:val="Ttulo-base"/>
    <w:next w:val="Textoindependiente"/>
    <w:link w:val="Ttulo4Car"/>
    <w:qFormat/>
    <w:rsid w:val="0058764C"/>
    <w:pPr>
      <w:spacing w:before="12pt" w:after="12pt"/>
      <w:ind w:start="18pt"/>
      <w:outlineLvl w:val="3"/>
    </w:pPr>
    <w:rPr>
      <w:i/>
      <w:spacing w:val="5"/>
      <w:sz w:val="24"/>
    </w:rPr>
  </w:style>
  <w:style w:type="paragraph" w:styleId="Ttulo5">
    <w:name w:val="heading 5"/>
    <w:basedOn w:val="Ttulo-base"/>
    <w:next w:val="Textoindependiente"/>
    <w:link w:val="Ttulo5Car"/>
    <w:qFormat/>
    <w:rsid w:val="0058764C"/>
    <w:pPr>
      <w:outlineLvl w:val="4"/>
    </w:pPr>
    <w:rPr>
      <w:b/>
    </w:rPr>
  </w:style>
  <w:style w:type="paragraph" w:styleId="Ttulo6">
    <w:name w:val="heading 6"/>
    <w:basedOn w:val="Ttulo-base"/>
    <w:next w:val="Textoindependiente"/>
    <w:link w:val="Ttulo6Car"/>
    <w:qFormat/>
    <w:rsid w:val="0058764C"/>
    <w:pPr>
      <w:outlineLvl w:val="5"/>
    </w:pPr>
    <w:rPr>
      <w:i/>
      <w:spacing w:val="5"/>
    </w:rPr>
  </w:style>
  <w:style w:type="paragraph" w:styleId="Ttulo7">
    <w:name w:val="heading 7"/>
    <w:basedOn w:val="Ttulo-base"/>
    <w:next w:val="Textoindependiente"/>
    <w:link w:val="Ttulo7Car"/>
    <w:uiPriority w:val="9"/>
    <w:qFormat/>
    <w:rsid w:val="0058764C"/>
    <w:pPr>
      <w:outlineLvl w:val="6"/>
    </w:pPr>
    <w:rPr>
      <w:smallCaps/>
    </w:rPr>
  </w:style>
  <w:style w:type="paragraph" w:styleId="Ttulo8">
    <w:name w:val="heading 8"/>
    <w:basedOn w:val="Ttulo-base"/>
    <w:next w:val="Textoindependiente"/>
    <w:link w:val="Ttulo8Car"/>
    <w:uiPriority w:val="9"/>
    <w:qFormat/>
    <w:rsid w:val="0058764C"/>
    <w:pPr>
      <w:ind w:firstLine="18pt"/>
      <w:outlineLvl w:val="7"/>
    </w:pPr>
    <w:rPr>
      <w:i/>
      <w:spacing w:val="5"/>
    </w:rPr>
  </w:style>
  <w:style w:type="paragraph" w:styleId="Ttulo9">
    <w:name w:val="heading 9"/>
    <w:basedOn w:val="Ttulo-base"/>
    <w:next w:val="Textoindependiente"/>
    <w:link w:val="Ttulo9Car"/>
    <w:qFormat/>
    <w:rsid w:val="0058764C"/>
    <w:pPr>
      <w:outlineLvl w:val="8"/>
    </w:pPr>
    <w:rPr>
      <w:spacing w:val="-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pt" w:type="dxa"/>
      <w:tblCellMar>
        <w:top w:w="0pt" w:type="dxa"/>
        <w:start w:w="5.40pt" w:type="dxa"/>
        <w:bottom w:w="0pt" w:type="dxa"/>
        <w:end w:w="5.40pt"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F0FFB"/>
    <w:pPr>
      <w:tabs>
        <w:tab w:val="center" w:pos="212.60pt"/>
        <w:tab w:val="end" w:pos="425.20pt"/>
      </w:tabs>
    </w:pPr>
  </w:style>
  <w:style w:type="character" w:customStyle="1" w:styleId="EncabezadoCar">
    <w:name w:val="Encabezado Car"/>
    <w:basedOn w:val="Fuentedeprrafopredeter"/>
    <w:link w:val="Encabezado"/>
    <w:uiPriority w:val="99"/>
    <w:rsid w:val="009F0FFB"/>
    <w:rPr>
      <w:noProof/>
      <w:lang w:val="es-ES"/>
    </w:rPr>
  </w:style>
  <w:style w:type="paragraph" w:styleId="Piedepgina">
    <w:name w:val="footer"/>
    <w:basedOn w:val="Normal"/>
    <w:link w:val="PiedepginaCar"/>
    <w:uiPriority w:val="99"/>
    <w:unhideWhenUsed/>
    <w:rsid w:val="009F0FFB"/>
    <w:pPr>
      <w:tabs>
        <w:tab w:val="center" w:pos="212.60pt"/>
        <w:tab w:val="end" w:pos="425.20pt"/>
      </w:tabs>
    </w:pPr>
  </w:style>
  <w:style w:type="character" w:customStyle="1" w:styleId="PiedepginaCar">
    <w:name w:val="Pie de página Car"/>
    <w:basedOn w:val="Fuentedeprrafopredeter"/>
    <w:link w:val="Piedepgina"/>
    <w:uiPriority w:val="99"/>
    <w:rsid w:val="009F0FFB"/>
    <w:rPr>
      <w:noProof/>
      <w:lang w:val="es-ES"/>
    </w:rPr>
  </w:style>
  <w:style w:type="paragraph" w:styleId="NormalWeb">
    <w:name w:val="Normal (Web)"/>
    <w:basedOn w:val="Normal"/>
    <w:unhideWhenUsed/>
    <w:rsid w:val="009F0FFB"/>
    <w:pPr>
      <w:spacing w:before="5pt" w:beforeAutospacing="1" w:after="5pt" w:afterAutospacing="1"/>
    </w:pPr>
    <w:rPr>
      <w:rFonts w:ascii="Times New Roman" w:eastAsia="Times New Roman" w:hAnsi="Times New Roman" w:cs="Times New Roman"/>
      <w:noProof w:val="0"/>
      <w:lang w:val="es-PE" w:eastAsia="es-ES_tradnl"/>
    </w:rPr>
  </w:style>
  <w:style w:type="character" w:styleId="Hipervnculo">
    <w:name w:val="Hyperlink"/>
    <w:basedOn w:val="Fuentedeprrafopredeter"/>
    <w:uiPriority w:val="99"/>
    <w:unhideWhenUsed/>
    <w:rsid w:val="0058764C"/>
    <w:rPr>
      <w:color w:val="0563C1" w:themeColor="hyperlink"/>
      <w:u w:val="single"/>
    </w:rPr>
  </w:style>
  <w:style w:type="character" w:styleId="Mencinsinresolver">
    <w:name w:val="Unresolved Mention"/>
    <w:basedOn w:val="Fuentedeprrafopredeter"/>
    <w:uiPriority w:val="99"/>
    <w:semiHidden/>
    <w:unhideWhenUsed/>
    <w:rsid w:val="0058764C"/>
    <w:rPr>
      <w:color w:val="605E5C"/>
      <w:shd w:val="clear" w:color="auto" w:fill="E1DFDD"/>
    </w:rPr>
  </w:style>
  <w:style w:type="paragraph" w:styleId="Sinespaciado">
    <w:name w:val="No Spacing"/>
    <w:link w:val="SinespaciadoCar"/>
    <w:uiPriority w:val="1"/>
    <w:qFormat/>
    <w:rsid w:val="0058764C"/>
    <w:rPr>
      <w:rFonts w:eastAsiaTheme="minorEastAsia"/>
      <w:sz w:val="22"/>
      <w:szCs w:val="22"/>
      <w:lang w:val="en-US" w:eastAsia="zh-CN"/>
    </w:rPr>
  </w:style>
  <w:style w:type="paragraph" w:customStyle="1" w:styleId="Apanivel11">
    <w:name w:val="Apa_nivel11"/>
    <w:basedOn w:val="Normal"/>
    <w:next w:val="Normal"/>
    <w:uiPriority w:val="9"/>
    <w:qFormat/>
    <w:rsid w:val="0058764C"/>
    <w:pPr>
      <w:keepNext/>
      <w:keepLines/>
      <w:spacing w:before="12pt" w:line="18pt" w:lineRule="auto"/>
      <w:jc w:val="center"/>
      <w:outlineLvl w:val="0"/>
    </w:pPr>
    <w:rPr>
      <w:rFonts w:ascii="Times New Roman" w:eastAsia="Times New Roman" w:hAnsi="Times New Roman" w:cs="Times New Roman"/>
      <w:b/>
      <w:noProof w:val="0"/>
      <w:szCs w:val="32"/>
    </w:rPr>
  </w:style>
  <w:style w:type="paragraph" w:customStyle="1" w:styleId="Titulopreliminar1">
    <w:name w:val="Titulo preliminar1"/>
    <w:basedOn w:val="Normal"/>
    <w:next w:val="Normal"/>
    <w:uiPriority w:val="9"/>
    <w:unhideWhenUsed/>
    <w:qFormat/>
    <w:rsid w:val="0058764C"/>
    <w:pPr>
      <w:keepNext/>
      <w:keepLines/>
      <w:spacing w:before="6pt" w:after="6pt" w:line="12.95pt" w:lineRule="auto"/>
      <w:ind w:start="35.40pt"/>
      <w:outlineLvl w:val="1"/>
    </w:pPr>
    <w:rPr>
      <w:rFonts w:ascii="Times New Roman" w:eastAsia="Times New Roman" w:hAnsi="Times New Roman" w:cs="Times New Roman"/>
      <w:b/>
      <w:noProof w:val="0"/>
      <w:szCs w:val="26"/>
      <w:lang w:val="es-PE"/>
    </w:rPr>
  </w:style>
  <w:style w:type="paragraph" w:customStyle="1" w:styleId="Ttulo31">
    <w:name w:val="Título 31"/>
    <w:basedOn w:val="Normal"/>
    <w:next w:val="Normal"/>
    <w:uiPriority w:val="9"/>
    <w:unhideWhenUsed/>
    <w:qFormat/>
    <w:rsid w:val="0058764C"/>
    <w:pPr>
      <w:keepNext/>
      <w:keepLines/>
      <w:spacing w:before="2pt" w:line="12.95pt" w:lineRule="auto"/>
      <w:ind w:start="35.40pt"/>
      <w:outlineLvl w:val="2"/>
    </w:pPr>
    <w:rPr>
      <w:rFonts w:ascii="Times New Roman" w:eastAsia="Times New Roman" w:hAnsi="Times New Roman" w:cs="Times New Roman"/>
      <w:b/>
      <w:noProof w:val="0"/>
      <w:lang w:val="es-PE"/>
    </w:rPr>
  </w:style>
  <w:style w:type="character" w:customStyle="1" w:styleId="Ttulo4Car">
    <w:name w:val="Título 4 Car"/>
    <w:basedOn w:val="Fuentedeprrafopredeter"/>
    <w:link w:val="Ttulo4"/>
    <w:uiPriority w:val="9"/>
    <w:rsid w:val="0058764C"/>
    <w:rPr>
      <w:rFonts w:ascii="Garamond" w:eastAsia="Times New Roman" w:hAnsi="Garamond" w:cs="Times New Roman"/>
      <w:i/>
      <w:spacing w:val="5"/>
      <w:kern w:val="20"/>
      <w:szCs w:val="20"/>
    </w:rPr>
  </w:style>
  <w:style w:type="character" w:customStyle="1" w:styleId="Ttulo5Car">
    <w:name w:val="Título 5 Car"/>
    <w:basedOn w:val="Fuentedeprrafopredeter"/>
    <w:link w:val="Ttulo5"/>
    <w:uiPriority w:val="9"/>
    <w:rsid w:val="0058764C"/>
    <w:rPr>
      <w:rFonts w:ascii="Garamond" w:eastAsia="Times New Roman" w:hAnsi="Garamond" w:cs="Times New Roman"/>
      <w:b/>
      <w:kern w:val="20"/>
      <w:sz w:val="22"/>
      <w:szCs w:val="20"/>
    </w:rPr>
  </w:style>
  <w:style w:type="character" w:customStyle="1" w:styleId="Ttulo6Car">
    <w:name w:val="Título 6 Car"/>
    <w:basedOn w:val="Fuentedeprrafopredeter"/>
    <w:link w:val="Ttulo6"/>
    <w:uiPriority w:val="9"/>
    <w:rsid w:val="0058764C"/>
    <w:rPr>
      <w:rFonts w:ascii="Garamond" w:eastAsia="Times New Roman" w:hAnsi="Garamond" w:cs="Times New Roman"/>
      <w:i/>
      <w:spacing w:val="5"/>
      <w:kern w:val="20"/>
      <w:sz w:val="22"/>
      <w:szCs w:val="20"/>
    </w:rPr>
  </w:style>
  <w:style w:type="character" w:customStyle="1" w:styleId="Ttulo7Car">
    <w:name w:val="Título 7 Car"/>
    <w:basedOn w:val="Fuentedeprrafopredeter"/>
    <w:link w:val="Ttulo7"/>
    <w:uiPriority w:val="9"/>
    <w:rsid w:val="0058764C"/>
    <w:rPr>
      <w:rFonts w:ascii="Garamond" w:eastAsia="Times New Roman" w:hAnsi="Garamond" w:cs="Times New Roman"/>
      <w:smallCaps/>
      <w:kern w:val="20"/>
      <w:sz w:val="22"/>
      <w:szCs w:val="20"/>
    </w:rPr>
  </w:style>
  <w:style w:type="character" w:customStyle="1" w:styleId="Ttulo8Car">
    <w:name w:val="Título 8 Car"/>
    <w:basedOn w:val="Fuentedeprrafopredeter"/>
    <w:link w:val="Ttulo8"/>
    <w:uiPriority w:val="9"/>
    <w:rsid w:val="0058764C"/>
    <w:rPr>
      <w:rFonts w:ascii="Garamond" w:eastAsia="Times New Roman" w:hAnsi="Garamond" w:cs="Times New Roman"/>
      <w:i/>
      <w:spacing w:val="5"/>
      <w:kern w:val="20"/>
      <w:sz w:val="22"/>
      <w:szCs w:val="20"/>
    </w:rPr>
  </w:style>
  <w:style w:type="character" w:customStyle="1" w:styleId="Ttulo9Car">
    <w:name w:val="Título 9 Car"/>
    <w:basedOn w:val="Fuentedeprrafopredeter"/>
    <w:link w:val="Ttulo9"/>
    <w:rsid w:val="0058764C"/>
    <w:rPr>
      <w:rFonts w:ascii="Garamond" w:eastAsia="Times New Roman" w:hAnsi="Garamond" w:cs="Times New Roman"/>
      <w:spacing w:val="-5"/>
      <w:kern w:val="20"/>
      <w:sz w:val="22"/>
      <w:szCs w:val="20"/>
    </w:rPr>
  </w:style>
  <w:style w:type="numbering" w:customStyle="1" w:styleId="Sinlista1">
    <w:name w:val="Sin lista1"/>
    <w:next w:val="Sinlista"/>
    <w:uiPriority w:val="99"/>
    <w:semiHidden/>
    <w:unhideWhenUsed/>
    <w:rsid w:val="0058764C"/>
  </w:style>
  <w:style w:type="character" w:customStyle="1" w:styleId="Ttulo2Car">
    <w:name w:val="Título 2 Car"/>
    <w:aliases w:val="Apa_nivel2 Car,Titulo preliminar Car,Nivel 1.1 Car"/>
    <w:basedOn w:val="Fuentedeprrafopredeter"/>
    <w:link w:val="Ttulo2"/>
    <w:uiPriority w:val="9"/>
    <w:rsid w:val="0058764C"/>
    <w:rPr>
      <w:rFonts w:ascii="Times New Roman" w:eastAsia="Times New Roman" w:hAnsi="Times New Roman" w:cs="Times New Roman"/>
      <w:b/>
      <w:sz w:val="24"/>
      <w:szCs w:val="26"/>
    </w:rPr>
  </w:style>
  <w:style w:type="character" w:customStyle="1" w:styleId="Ttulo3Car">
    <w:name w:val="Título 3 Car"/>
    <w:basedOn w:val="Fuentedeprrafopredeter"/>
    <w:link w:val="Ttulo3"/>
    <w:uiPriority w:val="9"/>
    <w:rsid w:val="0058764C"/>
    <w:rPr>
      <w:rFonts w:ascii="Times New Roman" w:eastAsia="Times New Roman" w:hAnsi="Times New Roman" w:cs="Times New Roman"/>
      <w:b/>
      <w:sz w:val="24"/>
      <w:szCs w:val="24"/>
    </w:rPr>
  </w:style>
  <w:style w:type="paragraph" w:styleId="Prrafodelista">
    <w:name w:val="List Paragraph"/>
    <w:aliases w:val="Viñetas,Fundamentacion,Bulleted List,Lista vistosa - Énfasis 11,SubPárrafo de lista,Titulo de Fígura,figuras cap 5,Iz - Párrafo de lista,Sivsa Parrafo,Sub Titulo,Subtítulo 2,TITULO A,TEXTO DAMBO,SUBPARRAFO"/>
    <w:basedOn w:val="Normal"/>
    <w:link w:val="PrrafodelistaCar"/>
    <w:uiPriority w:val="34"/>
    <w:qFormat/>
    <w:rsid w:val="0058764C"/>
    <w:pPr>
      <w:spacing w:after="8pt" w:line="12.95pt" w:lineRule="auto"/>
      <w:ind w:start="36pt"/>
      <w:contextualSpacing/>
    </w:pPr>
    <w:rPr>
      <w:rFonts w:ascii="Times New Roman" w:hAnsi="Times New Roman"/>
      <w:noProof w:val="0"/>
      <w:szCs w:val="22"/>
      <w:lang w:val="es-PE"/>
    </w:rPr>
  </w:style>
  <w:style w:type="character" w:customStyle="1" w:styleId="PrrafodelistaCar">
    <w:name w:val="Párrafo de lista Car"/>
    <w:aliases w:val="Viñetas Car,Fundamentacion Car,Bulleted List Car,Lista vistosa - Énfasis 11 Car,SubPárrafo de lista Car,Titulo de Fígura Car,figuras cap 5 Car,Iz - Párrafo de lista Car,Sivsa Parrafo Car,Sub Titulo Car,Subtítulo 2 Car,TITULO A Car"/>
    <w:link w:val="Prrafodelista"/>
    <w:uiPriority w:val="34"/>
    <w:qFormat/>
    <w:locked/>
    <w:rsid w:val="0058764C"/>
    <w:rPr>
      <w:rFonts w:ascii="Times New Roman" w:hAnsi="Times New Roman"/>
      <w:szCs w:val="22"/>
    </w:rPr>
  </w:style>
  <w:style w:type="paragraph" w:customStyle="1" w:styleId="Descripcin1">
    <w:name w:val="Descripción1"/>
    <w:basedOn w:val="Normal"/>
    <w:next w:val="Normal"/>
    <w:uiPriority w:val="35"/>
    <w:unhideWhenUsed/>
    <w:qFormat/>
    <w:rsid w:val="0058764C"/>
    <w:pPr>
      <w:spacing w:after="10pt"/>
    </w:pPr>
    <w:rPr>
      <w:rFonts w:ascii="Times New Roman" w:hAnsi="Times New Roman"/>
      <w:i/>
      <w:iCs/>
      <w:noProof w:val="0"/>
      <w:color w:val="44546A"/>
      <w:sz w:val="18"/>
      <w:szCs w:val="18"/>
      <w:lang w:val="es-PE"/>
    </w:rPr>
  </w:style>
  <w:style w:type="table" w:styleId="Tablaconcuadrcula">
    <w:name w:val="Table Grid"/>
    <w:basedOn w:val="Tablanormal"/>
    <w:uiPriority w:val="39"/>
    <w:rsid w:val="0058764C"/>
    <w:rPr>
      <w:rFonts w:ascii="Times New Roman" w:eastAsia="Times New Roman" w:hAnsi="Times New Roman" w:cs="Times New Roman"/>
      <w:sz w:val="20"/>
      <w:szCs w:val="20"/>
      <w:lang w:val="en-GB" w:eastAsia="en-GB"/>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58764C"/>
    <w:pPr>
      <w:tabs>
        <w:tab w:val="start" w:pos="45.80pt"/>
        <w:tab w:val="start" w:pos="91.60pt"/>
        <w:tab w:val="start" w:pos="137.40pt"/>
        <w:tab w:val="start" w:pos="183.20pt"/>
        <w:tab w:val="start" w:pos="229pt"/>
        <w:tab w:val="start" w:pos="274.80pt"/>
        <w:tab w:val="start" w:pos="320.60pt"/>
        <w:tab w:val="start" w:pos="366.40pt"/>
        <w:tab w:val="start" w:pos="412.20pt"/>
        <w:tab w:val="start" w:pos="458pt"/>
        <w:tab w:val="start" w:pos="503.80pt"/>
        <w:tab w:val="start" w:pos="549.60pt"/>
        <w:tab w:val="start" w:pos="595.40pt"/>
        <w:tab w:val="start" w:pos="641.20pt"/>
        <w:tab w:val="start" w:pos="687pt"/>
        <w:tab w:val="start" w:pos="732.80pt"/>
      </w:tabs>
    </w:pPr>
    <w:rPr>
      <w:rFonts w:ascii="Courier New" w:eastAsia="Times New Roman" w:hAnsi="Courier New" w:cs="Courier New"/>
      <w:noProof w:val="0"/>
      <w:sz w:val="20"/>
      <w:szCs w:val="20"/>
      <w:lang w:val="es-PE" w:eastAsia="es-PE"/>
    </w:rPr>
  </w:style>
  <w:style w:type="character" w:customStyle="1" w:styleId="HTMLconformatoprevioCar">
    <w:name w:val="HTML con formato previo Car"/>
    <w:basedOn w:val="Fuentedeprrafopredeter"/>
    <w:link w:val="HTMLconformatoprevio"/>
    <w:uiPriority w:val="99"/>
    <w:rsid w:val="0058764C"/>
    <w:rPr>
      <w:rFonts w:ascii="Courier New" w:eastAsia="Times New Roman" w:hAnsi="Courier New" w:cs="Courier New"/>
      <w:sz w:val="20"/>
      <w:szCs w:val="20"/>
      <w:lang w:eastAsia="es-PE"/>
    </w:rPr>
  </w:style>
  <w:style w:type="character" w:customStyle="1" w:styleId="orcid-id-https">
    <w:name w:val="orcid-id-https"/>
    <w:basedOn w:val="Fuentedeprrafopredeter"/>
    <w:rsid w:val="0058764C"/>
  </w:style>
  <w:style w:type="character" w:customStyle="1" w:styleId="Hipervnculovisitado1">
    <w:name w:val="Hipervínculo visitado1"/>
    <w:basedOn w:val="Fuentedeprrafopredeter"/>
    <w:uiPriority w:val="99"/>
    <w:semiHidden/>
    <w:unhideWhenUsed/>
    <w:rsid w:val="0058764C"/>
    <w:rPr>
      <w:color w:val="954F72"/>
      <w:u w:val="single"/>
    </w:rPr>
  </w:style>
  <w:style w:type="character" w:customStyle="1" w:styleId="y2iqfc">
    <w:name w:val="y2iqfc"/>
    <w:basedOn w:val="Fuentedeprrafopredeter"/>
    <w:rsid w:val="0058764C"/>
  </w:style>
  <w:style w:type="paragraph" w:customStyle="1" w:styleId="Default">
    <w:name w:val="Default"/>
    <w:rsid w:val="0058764C"/>
    <w:pPr>
      <w:autoSpaceDE w:val="0"/>
      <w:autoSpaceDN w:val="0"/>
      <w:adjustRightInd w:val="0"/>
    </w:pPr>
    <w:rPr>
      <w:rFonts w:ascii="Times New Roman" w:hAnsi="Times New Roman" w:cs="Times New Roman"/>
      <w:color w:val="000000"/>
      <w:lang w:val="en-US"/>
    </w:rPr>
  </w:style>
  <w:style w:type="character" w:customStyle="1" w:styleId="name">
    <w:name w:val="name"/>
    <w:basedOn w:val="Fuentedeprrafopredeter"/>
    <w:rsid w:val="0058764C"/>
  </w:style>
  <w:style w:type="character" w:customStyle="1" w:styleId="affiliation">
    <w:name w:val="affiliation"/>
    <w:basedOn w:val="Fuentedeprrafopredeter"/>
    <w:rsid w:val="0058764C"/>
  </w:style>
  <w:style w:type="character" w:customStyle="1" w:styleId="orcid">
    <w:name w:val="orcid"/>
    <w:basedOn w:val="Fuentedeprrafopredeter"/>
    <w:rsid w:val="0058764C"/>
  </w:style>
  <w:style w:type="character" w:customStyle="1" w:styleId="Ttulo1Car">
    <w:name w:val="Título 1 Car"/>
    <w:aliases w:val="Apa_nivel1 Car,Nivel 1 Car"/>
    <w:basedOn w:val="Fuentedeprrafopredeter"/>
    <w:link w:val="Ttulo1"/>
    <w:uiPriority w:val="9"/>
    <w:rsid w:val="0058764C"/>
    <w:rPr>
      <w:rFonts w:ascii="Times New Roman" w:eastAsia="Times New Roman" w:hAnsi="Times New Roman" w:cs="Times New Roman"/>
      <w:b/>
      <w:sz w:val="24"/>
      <w:szCs w:val="32"/>
      <w:lang w:val="es-ES"/>
    </w:rPr>
  </w:style>
  <w:style w:type="paragraph" w:customStyle="1" w:styleId="Apanivel3">
    <w:name w:val="Apa_nivel3"/>
    <w:basedOn w:val="Normal"/>
    <w:next w:val="Normal"/>
    <w:link w:val="Apanivel3Car"/>
    <w:qFormat/>
    <w:rsid w:val="0058764C"/>
    <w:pPr>
      <w:spacing w:line="18pt" w:lineRule="auto"/>
      <w:ind w:firstLine="36pt"/>
    </w:pPr>
    <w:rPr>
      <w:rFonts w:ascii="Times New Roman" w:hAnsi="Times New Roman"/>
      <w:b/>
      <w:i/>
      <w:noProof w:val="0"/>
      <w:szCs w:val="22"/>
      <w:lang w:val="es-PE"/>
    </w:rPr>
  </w:style>
  <w:style w:type="character" w:customStyle="1" w:styleId="Apanivel3Car">
    <w:name w:val="Apa_nivel3 Car"/>
    <w:basedOn w:val="Fuentedeprrafopredeter"/>
    <w:link w:val="Apanivel3"/>
    <w:rsid w:val="0058764C"/>
    <w:rPr>
      <w:rFonts w:ascii="Times New Roman" w:hAnsi="Times New Roman"/>
      <w:b/>
      <w:i/>
      <w:szCs w:val="22"/>
    </w:rPr>
  </w:style>
  <w:style w:type="character" w:customStyle="1" w:styleId="Mencinsinresolver1">
    <w:name w:val="Mención sin resolver1"/>
    <w:basedOn w:val="Fuentedeprrafopredeter"/>
    <w:uiPriority w:val="99"/>
    <w:semiHidden/>
    <w:unhideWhenUsed/>
    <w:rsid w:val="0058764C"/>
    <w:rPr>
      <w:color w:val="605E5C"/>
      <w:shd w:val="clear" w:color="auto" w:fill="E1DFDD"/>
    </w:rPr>
  </w:style>
  <w:style w:type="character" w:styleId="Refdecomentario">
    <w:name w:val="annotation reference"/>
    <w:basedOn w:val="Fuentedeprrafopredeter"/>
    <w:unhideWhenUsed/>
    <w:rsid w:val="0058764C"/>
    <w:rPr>
      <w:sz w:val="16"/>
      <w:szCs w:val="16"/>
    </w:rPr>
  </w:style>
  <w:style w:type="paragraph" w:styleId="Textocomentario">
    <w:name w:val="annotation text"/>
    <w:basedOn w:val="Normal"/>
    <w:link w:val="TextocomentarioCar"/>
    <w:uiPriority w:val="99"/>
    <w:unhideWhenUsed/>
    <w:rsid w:val="0058764C"/>
    <w:pPr>
      <w:spacing w:after="8pt"/>
    </w:pPr>
    <w:rPr>
      <w:rFonts w:ascii="Times New Roman" w:hAnsi="Times New Roman"/>
      <w:noProof w:val="0"/>
      <w:sz w:val="20"/>
      <w:szCs w:val="20"/>
    </w:rPr>
  </w:style>
  <w:style w:type="character" w:customStyle="1" w:styleId="TextocomentarioCar">
    <w:name w:val="Texto comentario Car"/>
    <w:basedOn w:val="Fuentedeprrafopredeter"/>
    <w:link w:val="Textocomentario"/>
    <w:uiPriority w:val="99"/>
    <w:rsid w:val="0058764C"/>
    <w:rPr>
      <w:rFonts w:ascii="Times New Roman" w:hAnsi="Times New Roman"/>
      <w:sz w:val="20"/>
      <w:szCs w:val="20"/>
      <w:lang w:val="es-ES"/>
    </w:rPr>
  </w:style>
  <w:style w:type="paragraph" w:styleId="Asuntodelcomentario">
    <w:name w:val="annotation subject"/>
    <w:basedOn w:val="Textocomentario"/>
    <w:next w:val="Textocomentario"/>
    <w:link w:val="AsuntodelcomentarioCar"/>
    <w:unhideWhenUsed/>
    <w:rsid w:val="0058764C"/>
    <w:rPr>
      <w:b/>
      <w:bCs/>
    </w:rPr>
  </w:style>
  <w:style w:type="character" w:customStyle="1" w:styleId="AsuntodelcomentarioCar">
    <w:name w:val="Asunto del comentario Car"/>
    <w:basedOn w:val="TextocomentarioCar"/>
    <w:link w:val="Asuntodelcomentario"/>
    <w:rsid w:val="0058764C"/>
    <w:rPr>
      <w:rFonts w:ascii="Times New Roman" w:hAnsi="Times New Roman"/>
      <w:b/>
      <w:bCs/>
      <w:sz w:val="20"/>
      <w:szCs w:val="20"/>
      <w:lang w:val="es-ES"/>
    </w:rPr>
  </w:style>
  <w:style w:type="paragraph" w:styleId="Textodeglobo">
    <w:name w:val="Balloon Text"/>
    <w:basedOn w:val="Normal"/>
    <w:link w:val="TextodegloboCar"/>
    <w:unhideWhenUsed/>
    <w:rsid w:val="0058764C"/>
    <w:rPr>
      <w:rFonts w:ascii="Segoe UI" w:hAnsi="Segoe UI" w:cs="Segoe UI"/>
      <w:noProof w:val="0"/>
      <w:sz w:val="18"/>
      <w:szCs w:val="18"/>
    </w:rPr>
  </w:style>
  <w:style w:type="character" w:customStyle="1" w:styleId="TextodegloboCar">
    <w:name w:val="Texto de globo Car"/>
    <w:basedOn w:val="Fuentedeprrafopredeter"/>
    <w:link w:val="Textodeglobo"/>
    <w:uiPriority w:val="99"/>
    <w:rsid w:val="0058764C"/>
    <w:rPr>
      <w:rFonts w:ascii="Segoe UI" w:hAnsi="Segoe UI" w:cs="Segoe UI"/>
      <w:sz w:val="18"/>
      <w:szCs w:val="18"/>
      <w:lang w:val="es-ES"/>
    </w:rPr>
  </w:style>
  <w:style w:type="paragraph" w:customStyle="1" w:styleId="Els-Abstract-text">
    <w:name w:val="Els-Abstract-text"/>
    <w:next w:val="Normal"/>
    <w:rsid w:val="0058764C"/>
    <w:pPr>
      <w:spacing w:line="11pt" w:lineRule="exact"/>
      <w:jc w:val="both"/>
    </w:pPr>
    <w:rPr>
      <w:rFonts w:ascii="Times New Roman" w:eastAsia="Times New Roman" w:hAnsi="Times New Roman" w:cs="Times New Roman"/>
      <w:sz w:val="18"/>
      <w:szCs w:val="20"/>
      <w:lang w:val="en-US"/>
    </w:rPr>
  </w:style>
  <w:style w:type="paragraph" w:customStyle="1" w:styleId="Els-Title">
    <w:name w:val="Els-Title"/>
    <w:next w:val="Normal"/>
    <w:autoRedefine/>
    <w:rsid w:val="0058764C"/>
    <w:pPr>
      <w:tabs>
        <w:tab w:val="start" w:pos="496.15pt"/>
      </w:tabs>
      <w:spacing w:after="12pt"/>
      <w:ind w:end="0.05pt"/>
    </w:pPr>
    <w:rPr>
      <w:rFonts w:ascii="Times New Roman" w:eastAsia="Times New Roman" w:hAnsi="Times New Roman" w:cs="Times New Roman"/>
      <w:sz w:val="28"/>
      <w:szCs w:val="28"/>
    </w:rPr>
  </w:style>
  <w:style w:type="paragraph" w:customStyle="1" w:styleId="Els-body-text">
    <w:name w:val="Els-body-text"/>
    <w:rsid w:val="0058764C"/>
    <w:pPr>
      <w:keepNext/>
      <w:spacing w:line="12pt" w:lineRule="exact"/>
      <w:ind w:firstLine="11.90pt"/>
      <w:jc w:val="both"/>
    </w:pPr>
    <w:rPr>
      <w:rFonts w:ascii="Times New Roman" w:eastAsia="Times New Roman" w:hAnsi="Times New Roman" w:cs="Times New Roman"/>
      <w:sz w:val="20"/>
      <w:szCs w:val="20"/>
      <w:lang w:val="en-US"/>
    </w:rPr>
  </w:style>
  <w:style w:type="paragraph" w:customStyle="1" w:styleId="Ttulo-base">
    <w:name w:val="Título - base"/>
    <w:basedOn w:val="Textoindependiente"/>
    <w:next w:val="Textoindependiente"/>
    <w:rsid w:val="0058764C"/>
    <w:pPr>
      <w:keepNext/>
      <w:keepLines/>
      <w:spacing w:after="0pt"/>
      <w:ind w:firstLine="0pt"/>
      <w:jc w:val="start"/>
    </w:pPr>
    <w:rPr>
      <w:kern w:val="20"/>
    </w:rPr>
  </w:style>
  <w:style w:type="paragraph" w:styleId="Textoindependiente">
    <w:name w:val="Body Text"/>
    <w:basedOn w:val="Normal"/>
    <w:link w:val="TextoindependienteCar"/>
    <w:uiPriority w:val="1"/>
    <w:qFormat/>
    <w:rsid w:val="0058764C"/>
    <w:pPr>
      <w:spacing w:after="12pt" w:line="12pt" w:lineRule="atLeast"/>
      <w:ind w:firstLine="18pt"/>
      <w:jc w:val="both"/>
    </w:pPr>
    <w:rPr>
      <w:rFonts w:ascii="Garamond" w:eastAsia="Times New Roman" w:hAnsi="Garamond" w:cs="Times New Roman"/>
      <w:noProof w:val="0"/>
      <w:sz w:val="22"/>
      <w:szCs w:val="20"/>
      <w:lang w:val="es-PE"/>
    </w:rPr>
  </w:style>
  <w:style w:type="character" w:customStyle="1" w:styleId="TextoindependienteCar">
    <w:name w:val="Texto independiente Car"/>
    <w:basedOn w:val="Fuentedeprrafopredeter"/>
    <w:link w:val="Textoindependiente"/>
    <w:uiPriority w:val="1"/>
    <w:rsid w:val="0058764C"/>
    <w:rPr>
      <w:rFonts w:ascii="Garamond" w:eastAsia="Times New Roman" w:hAnsi="Garamond" w:cs="Times New Roman"/>
      <w:sz w:val="22"/>
      <w:szCs w:val="20"/>
    </w:rPr>
  </w:style>
  <w:style w:type="paragraph" w:customStyle="1" w:styleId="Epgrafe2">
    <w:name w:val="Epígrafe2"/>
    <w:basedOn w:val="Ttulo1"/>
    <w:next w:val="Normal"/>
    <w:uiPriority w:val="39"/>
    <w:unhideWhenUsed/>
    <w:qFormat/>
    <w:rsid w:val="0058764C"/>
  </w:style>
  <w:style w:type="paragraph" w:customStyle="1" w:styleId="Imagen">
    <w:name w:val="Imagen"/>
    <w:basedOn w:val="Normal"/>
    <w:next w:val="Descripcin"/>
    <w:rsid w:val="0058764C"/>
    <w:pPr>
      <w:keepNext/>
    </w:pPr>
    <w:rPr>
      <w:rFonts w:ascii="Garamond" w:eastAsia="Times New Roman" w:hAnsi="Garamond" w:cs="Times New Roman"/>
      <w:noProof w:val="0"/>
      <w:sz w:val="22"/>
      <w:szCs w:val="20"/>
      <w:lang w:val="es-PE"/>
    </w:rPr>
  </w:style>
  <w:style w:type="character" w:styleId="Refdenotaalfinal">
    <w:name w:val="endnote reference"/>
    <w:semiHidden/>
    <w:rsid w:val="0058764C"/>
    <w:rPr>
      <w:vertAlign w:val="superscript"/>
    </w:rPr>
  </w:style>
  <w:style w:type="paragraph" w:styleId="Textonotaalfinal">
    <w:name w:val="endnote text"/>
    <w:basedOn w:val="Notaalpie-base"/>
    <w:link w:val="TextonotaalfinalCar"/>
    <w:semiHidden/>
    <w:rsid w:val="0058764C"/>
  </w:style>
  <w:style w:type="character" w:customStyle="1" w:styleId="TextonotaalfinalCar">
    <w:name w:val="Texto nota al final Car"/>
    <w:basedOn w:val="Fuentedeprrafopredeter"/>
    <w:link w:val="Textonotaalfinal"/>
    <w:semiHidden/>
    <w:rsid w:val="0058764C"/>
    <w:rPr>
      <w:rFonts w:ascii="Garamond" w:eastAsia="Times New Roman" w:hAnsi="Garamond" w:cs="Times New Roman"/>
      <w:sz w:val="18"/>
      <w:szCs w:val="20"/>
    </w:rPr>
  </w:style>
  <w:style w:type="paragraph" w:customStyle="1" w:styleId="Notaalpie-base">
    <w:name w:val="Nota al pie - base"/>
    <w:basedOn w:val="Textoindependiente"/>
    <w:link w:val="Notaalpie-baseCar"/>
    <w:rsid w:val="0058764C"/>
    <w:pPr>
      <w:keepLines/>
      <w:spacing w:line="10pt" w:lineRule="atLeast"/>
      <w:ind w:firstLine="0pt"/>
    </w:pPr>
    <w:rPr>
      <w:sz w:val="18"/>
    </w:rPr>
  </w:style>
  <w:style w:type="paragraph" w:customStyle="1" w:styleId="Encabezado-base">
    <w:name w:val="Encabezado - base"/>
    <w:basedOn w:val="Textoindependiente"/>
    <w:rsid w:val="0058764C"/>
    <w:pPr>
      <w:keepLines/>
      <w:tabs>
        <w:tab w:val="center" w:pos="216pt"/>
        <w:tab w:val="end" w:pos="432pt"/>
      </w:tabs>
      <w:spacing w:after="0pt"/>
      <w:ind w:firstLine="0pt"/>
      <w:jc w:val="center"/>
    </w:pPr>
    <w:rPr>
      <w:smallCaps/>
      <w:spacing w:val="15"/>
    </w:rPr>
  </w:style>
  <w:style w:type="character" w:styleId="Refdenotaalpie">
    <w:name w:val="footnote reference"/>
    <w:rsid w:val="0058764C"/>
    <w:rPr>
      <w:vertAlign w:val="superscript"/>
    </w:rPr>
  </w:style>
  <w:style w:type="paragraph" w:styleId="Textonotapie">
    <w:name w:val="footnote text"/>
    <w:basedOn w:val="Notaalpie-base"/>
    <w:link w:val="TextonotapieCar"/>
    <w:rsid w:val="0058764C"/>
  </w:style>
  <w:style w:type="character" w:customStyle="1" w:styleId="TextonotapieCar">
    <w:name w:val="Texto nota pie Car"/>
    <w:basedOn w:val="Fuentedeprrafopredeter"/>
    <w:link w:val="Textonotapie"/>
    <w:rsid w:val="0058764C"/>
    <w:rPr>
      <w:rFonts w:ascii="Garamond" w:eastAsia="Times New Roman" w:hAnsi="Garamond" w:cs="Times New Roman"/>
      <w:sz w:val="18"/>
      <w:szCs w:val="20"/>
    </w:rPr>
  </w:style>
  <w:style w:type="paragraph" w:styleId="ndice1">
    <w:name w:val="index 1"/>
    <w:basedOn w:val="ndice-base"/>
    <w:semiHidden/>
    <w:rsid w:val="0058764C"/>
    <w:rPr>
      <w:sz w:val="21"/>
    </w:rPr>
  </w:style>
  <w:style w:type="paragraph" w:customStyle="1" w:styleId="ndice-base">
    <w:name w:val="Índice - base"/>
    <w:basedOn w:val="Normal"/>
    <w:rsid w:val="0058764C"/>
    <w:pPr>
      <w:spacing w:line="12pt" w:lineRule="atLeast"/>
      <w:ind w:start="18pt" w:hanging="18pt"/>
    </w:pPr>
    <w:rPr>
      <w:rFonts w:ascii="Garamond" w:eastAsia="Times New Roman" w:hAnsi="Garamond" w:cs="Times New Roman"/>
      <w:noProof w:val="0"/>
      <w:sz w:val="22"/>
      <w:szCs w:val="20"/>
      <w:lang w:val="es-PE"/>
    </w:rPr>
  </w:style>
  <w:style w:type="paragraph" w:styleId="ndice2">
    <w:name w:val="index 2"/>
    <w:basedOn w:val="ndice-base"/>
    <w:semiHidden/>
    <w:rsid w:val="0058764C"/>
    <w:pPr>
      <w:spacing w:line="12pt" w:lineRule="auto"/>
      <w:ind w:hanging="12pt"/>
    </w:pPr>
    <w:rPr>
      <w:sz w:val="21"/>
    </w:rPr>
  </w:style>
  <w:style w:type="paragraph" w:styleId="ndice3">
    <w:name w:val="index 3"/>
    <w:basedOn w:val="ndice-base"/>
    <w:semiHidden/>
    <w:rsid w:val="0058764C"/>
    <w:pPr>
      <w:spacing w:line="12pt" w:lineRule="auto"/>
      <w:ind w:start="24pt" w:hanging="12pt"/>
    </w:pPr>
    <w:rPr>
      <w:sz w:val="21"/>
    </w:rPr>
  </w:style>
  <w:style w:type="paragraph" w:styleId="ndice4">
    <w:name w:val="index 4"/>
    <w:basedOn w:val="ndice-base"/>
    <w:semiHidden/>
    <w:rsid w:val="0058764C"/>
    <w:pPr>
      <w:spacing w:line="12pt" w:lineRule="auto"/>
      <w:ind w:start="30pt" w:hanging="12pt"/>
    </w:pPr>
    <w:rPr>
      <w:sz w:val="21"/>
    </w:rPr>
  </w:style>
  <w:style w:type="paragraph" w:styleId="ndice5">
    <w:name w:val="index 5"/>
    <w:basedOn w:val="ndice-base"/>
    <w:semiHidden/>
    <w:rsid w:val="0058764C"/>
    <w:pPr>
      <w:spacing w:line="12pt" w:lineRule="auto"/>
      <w:ind w:start="42pt"/>
    </w:pPr>
    <w:rPr>
      <w:sz w:val="21"/>
    </w:rPr>
  </w:style>
  <w:style w:type="paragraph" w:styleId="Ttulodendice">
    <w:name w:val="index heading"/>
    <w:basedOn w:val="Ttulo-base"/>
    <w:next w:val="ndice1"/>
    <w:semiHidden/>
    <w:rsid w:val="0058764C"/>
    <w:pPr>
      <w:keepLines w:val="0"/>
      <w:spacing w:line="24pt" w:lineRule="atLeast"/>
    </w:pPr>
    <w:rPr>
      <w:spacing w:val="-5"/>
      <w:kern w:val="0"/>
      <w:sz w:val="28"/>
    </w:rPr>
  </w:style>
  <w:style w:type="character" w:styleId="Nmerodelnea">
    <w:name w:val="line number"/>
    <w:uiPriority w:val="99"/>
    <w:rsid w:val="0058764C"/>
    <w:rPr>
      <w:sz w:val="18"/>
    </w:rPr>
  </w:style>
  <w:style w:type="paragraph" w:styleId="Lista">
    <w:name w:val="List"/>
    <w:basedOn w:val="Textoindependiente"/>
    <w:rsid w:val="0058764C"/>
    <w:pPr>
      <w:ind w:start="18pt" w:hanging="18pt"/>
    </w:pPr>
  </w:style>
  <w:style w:type="paragraph" w:styleId="Listaconvietas">
    <w:name w:val="List Bullet"/>
    <w:basedOn w:val="Lista"/>
    <w:rsid w:val="0058764C"/>
    <w:pPr>
      <w:numPr>
        <w:numId w:val="1"/>
      </w:numPr>
      <w:ind w:end="36pt"/>
    </w:pPr>
  </w:style>
  <w:style w:type="paragraph" w:styleId="Listaconnmeros">
    <w:name w:val="List Number"/>
    <w:basedOn w:val="Lista"/>
    <w:rsid w:val="0058764C"/>
    <w:pPr>
      <w:ind w:start="36pt" w:end="36pt"/>
    </w:pPr>
  </w:style>
  <w:style w:type="paragraph" w:styleId="Textomacro">
    <w:name w:val="macro"/>
    <w:basedOn w:val="Textoindependiente"/>
    <w:link w:val="TextomacroCar"/>
    <w:semiHidden/>
    <w:rsid w:val="0058764C"/>
    <w:pPr>
      <w:spacing w:line="12pt" w:lineRule="auto"/>
      <w:jc w:val="start"/>
    </w:pPr>
    <w:rPr>
      <w:rFonts w:ascii="Courier New" w:hAnsi="Courier New"/>
    </w:rPr>
  </w:style>
  <w:style w:type="character" w:customStyle="1" w:styleId="TextomacroCar">
    <w:name w:val="Texto macro Car"/>
    <w:basedOn w:val="Fuentedeprrafopredeter"/>
    <w:link w:val="Textomacro"/>
    <w:semiHidden/>
    <w:rsid w:val="0058764C"/>
    <w:rPr>
      <w:rFonts w:ascii="Courier New" w:eastAsia="Times New Roman" w:hAnsi="Courier New" w:cs="Times New Roman"/>
      <w:sz w:val="22"/>
      <w:szCs w:val="20"/>
    </w:rPr>
  </w:style>
  <w:style w:type="character" w:styleId="Nmerodepgina">
    <w:name w:val="page number"/>
    <w:rsid w:val="0058764C"/>
    <w:rPr>
      <w:sz w:val="24"/>
    </w:rPr>
  </w:style>
  <w:style w:type="paragraph" w:styleId="Tabladeilustraciones">
    <w:name w:val="table of figures"/>
    <w:basedOn w:val="TDC-base"/>
    <w:uiPriority w:val="99"/>
    <w:rsid w:val="0058764C"/>
    <w:pPr>
      <w:spacing w:line="18pt" w:lineRule="auto"/>
    </w:pPr>
    <w:rPr>
      <w:rFonts w:ascii="Arial" w:hAnsi="Arial"/>
      <w:sz w:val="24"/>
    </w:rPr>
  </w:style>
  <w:style w:type="paragraph" w:customStyle="1" w:styleId="TDC-base">
    <w:name w:val="TDC - base"/>
    <w:basedOn w:val="Normal"/>
    <w:rsid w:val="0058764C"/>
    <w:pPr>
      <w:tabs>
        <w:tab w:val="end" w:leader="dot" w:pos="252pt"/>
      </w:tabs>
      <w:spacing w:after="12pt" w:line="12pt" w:lineRule="atLeast"/>
    </w:pPr>
    <w:rPr>
      <w:rFonts w:ascii="Garamond" w:eastAsia="Times New Roman" w:hAnsi="Garamond" w:cs="Times New Roman"/>
      <w:noProof w:val="0"/>
      <w:sz w:val="22"/>
      <w:szCs w:val="20"/>
      <w:lang w:val="es-PE"/>
    </w:rPr>
  </w:style>
  <w:style w:type="paragraph" w:styleId="TDC1">
    <w:name w:val="toc 1"/>
    <w:basedOn w:val="TDC-base"/>
    <w:uiPriority w:val="1"/>
    <w:qFormat/>
    <w:rsid w:val="0058764C"/>
  </w:style>
  <w:style w:type="paragraph" w:styleId="TDC2">
    <w:name w:val="toc 2"/>
    <w:basedOn w:val="TDC-base"/>
    <w:uiPriority w:val="1"/>
    <w:qFormat/>
    <w:rsid w:val="0058764C"/>
  </w:style>
  <w:style w:type="paragraph" w:styleId="TDC3">
    <w:name w:val="toc 3"/>
    <w:basedOn w:val="TDC-base"/>
    <w:uiPriority w:val="39"/>
    <w:qFormat/>
    <w:rsid w:val="0058764C"/>
    <w:rPr>
      <w:i/>
    </w:rPr>
  </w:style>
  <w:style w:type="paragraph" w:styleId="TDC4">
    <w:name w:val="toc 4"/>
    <w:basedOn w:val="TDC-base"/>
    <w:uiPriority w:val="39"/>
    <w:rsid w:val="0058764C"/>
    <w:rPr>
      <w:i/>
    </w:rPr>
  </w:style>
  <w:style w:type="paragraph" w:styleId="TDC5">
    <w:name w:val="toc 5"/>
    <w:basedOn w:val="TDC-base"/>
    <w:uiPriority w:val="39"/>
    <w:rsid w:val="0058764C"/>
    <w:rPr>
      <w:i/>
    </w:rPr>
  </w:style>
  <w:style w:type="paragraph" w:styleId="Subttulo">
    <w:name w:val="Subtitle"/>
    <w:basedOn w:val="Ttulo"/>
    <w:next w:val="Textoindependiente"/>
    <w:link w:val="SubttuloCar"/>
    <w:qFormat/>
    <w:rsid w:val="0058764C"/>
    <w:pPr>
      <w:spacing w:after="21pt"/>
    </w:pPr>
    <w:rPr>
      <w:caps w:val="0"/>
      <w:smallCaps/>
      <w:spacing w:val="20"/>
      <w:sz w:val="27"/>
    </w:rPr>
  </w:style>
  <w:style w:type="character" w:customStyle="1" w:styleId="SubttuloCar">
    <w:name w:val="Subtítulo Car"/>
    <w:basedOn w:val="Fuentedeprrafopredeter"/>
    <w:link w:val="Subttulo"/>
    <w:rsid w:val="0058764C"/>
    <w:rPr>
      <w:rFonts w:ascii="Garamond" w:eastAsia="Times New Roman" w:hAnsi="Garamond" w:cs="Times New Roman"/>
      <w:smallCaps/>
      <w:spacing w:val="20"/>
      <w:kern w:val="20"/>
      <w:sz w:val="27"/>
      <w:szCs w:val="20"/>
    </w:rPr>
  </w:style>
  <w:style w:type="paragraph" w:styleId="Ttulo">
    <w:name w:val="Title"/>
    <w:aliases w:val="Puesto,Título1"/>
    <w:basedOn w:val="Ttulo-base"/>
    <w:next w:val="Subttulo"/>
    <w:link w:val="TtuloCar"/>
    <w:qFormat/>
    <w:rsid w:val="0058764C"/>
    <w:pPr>
      <w:spacing w:before="7pt" w:line="12pt" w:lineRule="auto"/>
      <w:jc w:val="center"/>
    </w:pPr>
    <w:rPr>
      <w:caps/>
      <w:spacing w:val="60"/>
      <w:sz w:val="44"/>
    </w:rPr>
  </w:style>
  <w:style w:type="character" w:customStyle="1" w:styleId="TtuloCar">
    <w:name w:val="Título Car"/>
    <w:aliases w:val="Puesto Car1,Título1 Car"/>
    <w:basedOn w:val="Fuentedeprrafopredeter"/>
    <w:link w:val="Ttulo"/>
    <w:uiPriority w:val="1"/>
    <w:rsid w:val="0058764C"/>
    <w:rPr>
      <w:rFonts w:ascii="Garamond" w:eastAsia="Times New Roman" w:hAnsi="Garamond" w:cs="Times New Roman"/>
      <w:caps/>
      <w:spacing w:val="60"/>
      <w:kern w:val="20"/>
      <w:sz w:val="44"/>
      <w:szCs w:val="20"/>
    </w:rPr>
  </w:style>
  <w:style w:type="paragraph" w:styleId="Sangradetextonormal">
    <w:name w:val="Body Text Indent"/>
    <w:basedOn w:val="Textoindependiente"/>
    <w:link w:val="SangradetextonormalCar"/>
    <w:rsid w:val="0058764C"/>
    <w:pPr>
      <w:ind w:start="18pt"/>
    </w:pPr>
  </w:style>
  <w:style w:type="character" w:customStyle="1" w:styleId="SangradetextonormalCar">
    <w:name w:val="Sangría de texto normal Car"/>
    <w:basedOn w:val="Fuentedeprrafopredeter"/>
    <w:link w:val="Sangradetextonormal"/>
    <w:rsid w:val="0058764C"/>
    <w:rPr>
      <w:rFonts w:ascii="Garamond" w:eastAsia="Times New Roman" w:hAnsi="Garamond" w:cs="Times New Roman"/>
      <w:sz w:val="22"/>
      <w:szCs w:val="20"/>
    </w:rPr>
  </w:style>
  <w:style w:type="paragraph" w:styleId="Cita">
    <w:name w:val="Quote"/>
    <w:basedOn w:val="Textoindependiente"/>
    <w:link w:val="CitaCar"/>
    <w:qFormat/>
    <w:rsid w:val="0058764C"/>
    <w:pPr>
      <w:keepLines/>
      <w:pBdr>
        <w:top w:val="single" w:sz="6" w:space="14" w:color="808080"/>
        <w:left w:val="single" w:sz="6" w:space="14" w:color="808080"/>
        <w:bottom w:val="single" w:sz="6" w:space="14" w:color="808080"/>
        <w:right w:val="single" w:sz="6" w:space="14" w:color="808080"/>
      </w:pBdr>
      <w:ind w:start="36pt" w:end="36pt" w:firstLine="0pt"/>
    </w:pPr>
    <w:rPr>
      <w:i/>
    </w:rPr>
  </w:style>
  <w:style w:type="character" w:customStyle="1" w:styleId="CitaCar">
    <w:name w:val="Cita Car"/>
    <w:basedOn w:val="Fuentedeprrafopredeter"/>
    <w:link w:val="Cita"/>
    <w:rsid w:val="0058764C"/>
    <w:rPr>
      <w:rFonts w:ascii="Garamond" w:eastAsia="Times New Roman" w:hAnsi="Garamond" w:cs="Times New Roman"/>
      <w:i/>
      <w:sz w:val="22"/>
      <w:szCs w:val="20"/>
    </w:rPr>
  </w:style>
  <w:style w:type="paragraph" w:styleId="Listaconnmeros2">
    <w:name w:val="List Number 2"/>
    <w:basedOn w:val="Listaconnmeros"/>
    <w:rsid w:val="0058764C"/>
    <w:pPr>
      <w:ind w:start="54pt"/>
    </w:pPr>
  </w:style>
  <w:style w:type="paragraph" w:styleId="Listaconnmeros3">
    <w:name w:val="List Number 3"/>
    <w:basedOn w:val="Listaconnmeros"/>
    <w:rsid w:val="0058764C"/>
    <w:pPr>
      <w:ind w:start="72pt"/>
    </w:pPr>
  </w:style>
  <w:style w:type="paragraph" w:styleId="Listaconvietas2">
    <w:name w:val="List Bullet 2"/>
    <w:basedOn w:val="Listaconvietas"/>
    <w:rsid w:val="0058764C"/>
    <w:pPr>
      <w:ind w:start="54pt"/>
    </w:pPr>
  </w:style>
  <w:style w:type="paragraph" w:styleId="Listaconnmeros4">
    <w:name w:val="List Number 4"/>
    <w:basedOn w:val="Listaconnmeros"/>
    <w:rsid w:val="0058764C"/>
    <w:pPr>
      <w:ind w:start="90pt"/>
    </w:pPr>
  </w:style>
  <w:style w:type="paragraph" w:styleId="Listaconvietas3">
    <w:name w:val="List Bullet 3"/>
    <w:basedOn w:val="Listaconvietas"/>
    <w:rsid w:val="0058764C"/>
    <w:pPr>
      <w:ind w:start="72pt"/>
    </w:pPr>
  </w:style>
  <w:style w:type="paragraph" w:styleId="Listaconvietas4">
    <w:name w:val="List Bullet 4"/>
    <w:basedOn w:val="Listaconvietas"/>
    <w:rsid w:val="0058764C"/>
    <w:pPr>
      <w:ind w:start="90pt"/>
    </w:pPr>
  </w:style>
  <w:style w:type="paragraph" w:styleId="Lista5">
    <w:name w:val="List 5"/>
    <w:basedOn w:val="Lista"/>
    <w:rsid w:val="0058764C"/>
    <w:pPr>
      <w:ind w:start="90pt"/>
    </w:pPr>
  </w:style>
  <w:style w:type="paragraph" w:styleId="Lista4">
    <w:name w:val="List 4"/>
    <w:basedOn w:val="Lista"/>
    <w:rsid w:val="0058764C"/>
    <w:pPr>
      <w:ind w:start="72pt"/>
    </w:pPr>
  </w:style>
  <w:style w:type="paragraph" w:styleId="Lista3">
    <w:name w:val="List 3"/>
    <w:basedOn w:val="Lista"/>
    <w:rsid w:val="0058764C"/>
    <w:pPr>
      <w:ind w:start="54pt"/>
    </w:pPr>
  </w:style>
  <w:style w:type="paragraph" w:styleId="Lista2">
    <w:name w:val="List 2"/>
    <w:basedOn w:val="Lista"/>
    <w:rsid w:val="0058764C"/>
    <w:pPr>
      <w:ind w:start="36pt"/>
    </w:pPr>
  </w:style>
  <w:style w:type="character" w:styleId="nfasis">
    <w:name w:val="Emphasis"/>
    <w:qFormat/>
    <w:rsid w:val="0058764C"/>
    <w:rPr>
      <w:caps/>
      <w:sz w:val="18"/>
    </w:rPr>
  </w:style>
  <w:style w:type="paragraph" w:styleId="Listaconnmeros5">
    <w:name w:val="List Number 5"/>
    <w:basedOn w:val="Listaconnmeros"/>
    <w:rsid w:val="0058764C"/>
    <w:pPr>
      <w:ind w:start="108pt"/>
    </w:pPr>
  </w:style>
  <w:style w:type="paragraph" w:styleId="Continuarlista">
    <w:name w:val="List Continue"/>
    <w:basedOn w:val="Lista"/>
    <w:rsid w:val="0058764C"/>
    <w:pPr>
      <w:ind w:start="36pt" w:end="36pt" w:firstLine="0pt"/>
    </w:pPr>
  </w:style>
  <w:style w:type="paragraph" w:styleId="Continuarlista2">
    <w:name w:val="List Continue 2"/>
    <w:basedOn w:val="Continuarlista"/>
    <w:rsid w:val="0058764C"/>
    <w:pPr>
      <w:ind w:start="54pt"/>
    </w:pPr>
  </w:style>
  <w:style w:type="paragraph" w:styleId="Continuarlista3">
    <w:name w:val="List Continue 3"/>
    <w:basedOn w:val="Continuarlista"/>
    <w:rsid w:val="0058764C"/>
    <w:pPr>
      <w:ind w:start="72pt"/>
    </w:pPr>
  </w:style>
  <w:style w:type="paragraph" w:styleId="Continuarlista4">
    <w:name w:val="List Continue 4"/>
    <w:basedOn w:val="Continuarlista"/>
    <w:rsid w:val="0058764C"/>
    <w:pPr>
      <w:ind w:start="90pt"/>
    </w:pPr>
  </w:style>
  <w:style w:type="paragraph" w:styleId="Continuarlista5">
    <w:name w:val="List Continue 5"/>
    <w:basedOn w:val="Continuarlista"/>
    <w:rsid w:val="0058764C"/>
    <w:pPr>
      <w:ind w:start="108pt"/>
    </w:pPr>
  </w:style>
  <w:style w:type="paragraph" w:styleId="Sangranormal">
    <w:name w:val="Normal Indent"/>
    <w:basedOn w:val="Normal"/>
    <w:rsid w:val="0058764C"/>
    <w:pPr>
      <w:ind w:start="36pt"/>
    </w:pPr>
    <w:rPr>
      <w:rFonts w:ascii="Garamond" w:eastAsia="Times New Roman" w:hAnsi="Garamond" w:cs="Times New Roman"/>
      <w:noProof w:val="0"/>
      <w:sz w:val="22"/>
      <w:szCs w:val="20"/>
      <w:lang w:val="es-PE"/>
    </w:rPr>
  </w:style>
  <w:style w:type="paragraph" w:styleId="Textoconsangra">
    <w:name w:val="table of authorities"/>
    <w:basedOn w:val="Normal"/>
    <w:semiHidden/>
    <w:rsid w:val="0058764C"/>
    <w:pPr>
      <w:tabs>
        <w:tab w:val="end" w:leader="dot" w:pos="378pt"/>
      </w:tabs>
    </w:pPr>
    <w:rPr>
      <w:rFonts w:ascii="Garamond" w:eastAsia="Times New Roman" w:hAnsi="Garamond" w:cs="Times New Roman"/>
      <w:noProof w:val="0"/>
      <w:sz w:val="22"/>
      <w:szCs w:val="20"/>
      <w:lang w:val="es-PE"/>
    </w:rPr>
  </w:style>
  <w:style w:type="paragraph" w:styleId="Encabezadodelista">
    <w:name w:val="toa heading"/>
    <w:basedOn w:val="Normal"/>
    <w:next w:val="Textoconsangra"/>
    <w:semiHidden/>
    <w:rsid w:val="0058764C"/>
    <w:pPr>
      <w:keepNext/>
      <w:spacing w:line="36pt" w:lineRule="atLeast"/>
    </w:pPr>
    <w:rPr>
      <w:rFonts w:ascii="Garamond" w:eastAsia="Times New Roman" w:hAnsi="Garamond" w:cs="Times New Roman"/>
      <w:caps/>
      <w:noProof w:val="0"/>
      <w:spacing w:val="-10"/>
      <w:kern w:val="28"/>
      <w:sz w:val="22"/>
      <w:szCs w:val="20"/>
      <w:lang w:val="es-PE"/>
    </w:rPr>
  </w:style>
  <w:style w:type="paragraph" w:styleId="Listaconvietas5">
    <w:name w:val="List Bullet 5"/>
    <w:basedOn w:val="Listaconvietas"/>
    <w:rsid w:val="0058764C"/>
    <w:pPr>
      <w:ind w:start="108pt"/>
    </w:pPr>
  </w:style>
  <w:style w:type="paragraph" w:customStyle="1" w:styleId="Encabezadodeseccin">
    <w:name w:val="Encabezado de sección"/>
    <w:basedOn w:val="Ttulo1"/>
    <w:rsid w:val="0058764C"/>
  </w:style>
  <w:style w:type="paragraph" w:customStyle="1" w:styleId="Encabezadoimpar">
    <w:name w:val="Encabezado impar"/>
    <w:basedOn w:val="Encabezado"/>
    <w:rsid w:val="0058764C"/>
    <w:pPr>
      <w:keepLines/>
      <w:tabs>
        <w:tab w:val="clear" w:pos="212.60pt"/>
        <w:tab w:val="clear" w:pos="425.20pt"/>
        <w:tab w:val="center" w:pos="216pt"/>
        <w:tab w:val="end" w:pos="432pt"/>
      </w:tabs>
      <w:spacing w:after="24pt" w:line="12pt" w:lineRule="atLeast"/>
      <w:jc w:val="center"/>
    </w:pPr>
    <w:rPr>
      <w:rFonts w:ascii="Garamond" w:eastAsia="Times New Roman" w:hAnsi="Garamond" w:cs="Times New Roman"/>
      <w:smallCaps/>
      <w:noProof w:val="0"/>
      <w:spacing w:val="15"/>
      <w:sz w:val="22"/>
      <w:szCs w:val="20"/>
      <w:lang w:val="es-PE"/>
    </w:rPr>
  </w:style>
  <w:style w:type="paragraph" w:customStyle="1" w:styleId="Encabezadopar">
    <w:name w:val="Encabezado par"/>
    <w:basedOn w:val="Encabezado"/>
    <w:rsid w:val="0058764C"/>
    <w:pPr>
      <w:keepLines/>
      <w:tabs>
        <w:tab w:val="clear" w:pos="212.60pt"/>
        <w:tab w:val="clear" w:pos="425.20pt"/>
        <w:tab w:val="center" w:pos="216pt"/>
        <w:tab w:val="end" w:pos="432pt"/>
      </w:tabs>
      <w:spacing w:after="24pt" w:line="12pt" w:lineRule="atLeast"/>
      <w:jc w:val="center"/>
    </w:pPr>
    <w:rPr>
      <w:rFonts w:ascii="Garamond" w:eastAsia="Times New Roman" w:hAnsi="Garamond" w:cs="Times New Roman"/>
      <w:i/>
      <w:noProof w:val="0"/>
      <w:spacing w:val="10"/>
      <w:sz w:val="22"/>
      <w:szCs w:val="20"/>
      <w:lang w:val="es-PE"/>
    </w:rPr>
  </w:style>
  <w:style w:type="paragraph" w:customStyle="1" w:styleId="Encabezadoprimero">
    <w:name w:val="Encabezado primero"/>
    <w:basedOn w:val="Encabezado"/>
    <w:rsid w:val="0058764C"/>
    <w:pPr>
      <w:keepLines/>
      <w:tabs>
        <w:tab w:val="clear" w:pos="212.60pt"/>
        <w:tab w:val="clear" w:pos="425.20pt"/>
        <w:tab w:val="center" w:pos="216pt"/>
        <w:tab w:val="end" w:pos="432pt"/>
      </w:tabs>
      <w:spacing w:after="24pt" w:line="12pt" w:lineRule="atLeast"/>
      <w:jc w:val="center"/>
    </w:pPr>
    <w:rPr>
      <w:rFonts w:ascii="Garamond" w:eastAsia="Times New Roman" w:hAnsi="Garamond" w:cs="Times New Roman"/>
      <w:smallCaps/>
      <w:noProof w:val="0"/>
      <w:spacing w:val="15"/>
      <w:sz w:val="22"/>
      <w:szCs w:val="20"/>
      <w:lang w:val="es-PE"/>
    </w:rPr>
  </w:style>
  <w:style w:type="character" w:customStyle="1" w:styleId="Eslogan">
    <w:name w:val="Eslogan"/>
    <w:rsid w:val="0058764C"/>
    <w:rPr>
      <w:i/>
      <w:spacing w:val="70"/>
    </w:rPr>
  </w:style>
  <w:style w:type="paragraph" w:customStyle="1" w:styleId="Organizacin">
    <w:name w:val="Organización"/>
    <w:basedOn w:val="Textoindependiente"/>
    <w:rsid w:val="0058764C"/>
    <w:pPr>
      <w:keepLines/>
      <w:framePr w:w="432pt" w:h="72pt" w:wrap="notBeside" w:vAnchor="page" w:hAnchor="margin" w:xAlign="center" w:y="44.45pt"/>
      <w:spacing w:after="2pt"/>
      <w:ind w:firstLine="0pt"/>
      <w:jc w:val="center"/>
    </w:pPr>
    <w:rPr>
      <w:caps/>
      <w:spacing w:val="75"/>
      <w:kern w:val="18"/>
    </w:rPr>
  </w:style>
  <w:style w:type="paragraph" w:customStyle="1" w:styleId="Piedepginaimpar">
    <w:name w:val="Pie de página impar"/>
    <w:basedOn w:val="Piedepgina"/>
    <w:rsid w:val="0058764C"/>
    <w:pPr>
      <w:keepLines/>
      <w:tabs>
        <w:tab w:val="clear" w:pos="212.60pt"/>
        <w:tab w:val="clear" w:pos="425.20pt"/>
        <w:tab w:val="center" w:pos="216pt"/>
        <w:tab w:val="end" w:pos="474pt"/>
      </w:tabs>
      <w:spacing w:before="30pt" w:line="12pt" w:lineRule="atLeast"/>
      <w:ind w:start="-42pt" w:end="-42pt"/>
      <w:jc w:val="center"/>
    </w:pPr>
    <w:rPr>
      <w:rFonts w:ascii="Garamond" w:eastAsia="Times New Roman" w:hAnsi="Garamond" w:cs="Times New Roman"/>
      <w:smallCaps/>
      <w:noProof w:val="0"/>
      <w:spacing w:val="15"/>
      <w:szCs w:val="20"/>
      <w:lang w:val="es-PE"/>
    </w:rPr>
  </w:style>
  <w:style w:type="paragraph" w:customStyle="1" w:styleId="Piedepginapar">
    <w:name w:val="Pie de página par"/>
    <w:basedOn w:val="Piedepgina"/>
    <w:rsid w:val="0058764C"/>
    <w:pPr>
      <w:keepLines/>
      <w:tabs>
        <w:tab w:val="clear" w:pos="212.60pt"/>
        <w:tab w:val="clear" w:pos="425.20pt"/>
        <w:tab w:val="center" w:pos="216pt"/>
        <w:tab w:val="end" w:pos="474pt"/>
      </w:tabs>
      <w:spacing w:before="30pt" w:line="12pt" w:lineRule="atLeast"/>
      <w:ind w:start="-42pt" w:end="-42pt"/>
      <w:jc w:val="center"/>
    </w:pPr>
    <w:rPr>
      <w:rFonts w:ascii="Garamond" w:eastAsia="Times New Roman" w:hAnsi="Garamond" w:cs="Times New Roman"/>
      <w:smallCaps/>
      <w:noProof w:val="0"/>
      <w:spacing w:val="15"/>
      <w:szCs w:val="20"/>
      <w:lang w:val="es-PE"/>
    </w:rPr>
  </w:style>
  <w:style w:type="paragraph" w:customStyle="1" w:styleId="Piedepginaprimera">
    <w:name w:val="Pie de página primera"/>
    <w:basedOn w:val="Piedepgina"/>
    <w:rsid w:val="0058764C"/>
    <w:pPr>
      <w:keepLines/>
      <w:tabs>
        <w:tab w:val="clear" w:pos="212.60pt"/>
        <w:tab w:val="clear" w:pos="425.20pt"/>
        <w:tab w:val="center" w:pos="216pt"/>
        <w:tab w:val="end" w:pos="474pt"/>
      </w:tabs>
      <w:spacing w:before="30pt" w:line="12pt" w:lineRule="atLeast"/>
      <w:ind w:start="-42pt" w:end="-42pt"/>
      <w:jc w:val="center"/>
    </w:pPr>
    <w:rPr>
      <w:rFonts w:ascii="Garamond" w:eastAsia="Times New Roman" w:hAnsi="Garamond" w:cs="Times New Roman"/>
      <w:smallCaps/>
      <w:noProof w:val="0"/>
      <w:spacing w:val="15"/>
      <w:szCs w:val="20"/>
      <w:lang w:val="es-PE"/>
    </w:rPr>
  </w:style>
  <w:style w:type="paragraph" w:styleId="Remitedesobre">
    <w:name w:val="envelope return"/>
    <w:rsid w:val="0058764C"/>
    <w:pPr>
      <w:framePr w:w="432.05pt" w:wrap="notBeside" w:vAnchor="page" w:hAnchor="page" w:x="86.50pt" w:y="720.15pt" w:anchorLock="1"/>
      <w:spacing w:line="12pt" w:lineRule="atLeast"/>
      <w:ind w:end="-11.90pt"/>
      <w:jc w:val="center"/>
    </w:pPr>
    <w:rPr>
      <w:rFonts w:ascii="Garamond" w:eastAsia="Times New Roman" w:hAnsi="Garamond" w:cs="Times New Roman"/>
      <w:caps/>
      <w:spacing w:val="30"/>
      <w:sz w:val="14"/>
      <w:szCs w:val="20"/>
      <w:lang w:val="es-ES"/>
    </w:rPr>
  </w:style>
  <w:style w:type="character" w:customStyle="1" w:styleId="Rtuloconnfasis">
    <w:name w:val="Rótulo con énfasis"/>
    <w:rsid w:val="0058764C"/>
    <w:rPr>
      <w:caps/>
      <w:sz w:val="18"/>
    </w:rPr>
  </w:style>
  <w:style w:type="paragraph" w:customStyle="1" w:styleId="Rtulodeseccin">
    <w:name w:val="Rótulo de sección"/>
    <w:basedOn w:val="Ttulo-base"/>
    <w:next w:val="Textoindependiente"/>
    <w:rsid w:val="0058764C"/>
    <w:pPr>
      <w:pBdr>
        <w:bottom w:val="single" w:sz="6" w:space="24" w:color="808080"/>
      </w:pBdr>
      <w:spacing w:after="36pt"/>
      <w:jc w:val="center"/>
    </w:pPr>
    <w:rPr>
      <w:caps/>
      <w:spacing w:val="80"/>
      <w:sz w:val="48"/>
    </w:rPr>
  </w:style>
  <w:style w:type="paragraph" w:customStyle="1" w:styleId="Rtulodecaptulo">
    <w:name w:val="Rótulo de capítulo"/>
    <w:basedOn w:val="Rtulodeseccin"/>
    <w:rsid w:val="0058764C"/>
  </w:style>
  <w:style w:type="paragraph" w:customStyle="1" w:styleId="Rtulodeparte">
    <w:name w:val="Rótulo de parte"/>
    <w:basedOn w:val="Rtulodeseccin"/>
    <w:rsid w:val="0058764C"/>
  </w:style>
  <w:style w:type="paragraph" w:customStyle="1" w:styleId="Subttulodecaptulo">
    <w:name w:val="Subtítulo de capítulo"/>
    <w:basedOn w:val="Subttulo"/>
    <w:rsid w:val="0058764C"/>
  </w:style>
  <w:style w:type="paragraph" w:customStyle="1" w:styleId="Ttulodecubierta">
    <w:name w:val="Título de cubierta"/>
    <w:basedOn w:val="Ttulo-base"/>
    <w:next w:val="Normal"/>
    <w:rsid w:val="0058764C"/>
    <w:pPr>
      <w:spacing w:after="12pt" w:line="36pt" w:lineRule="atLeast"/>
      <w:jc w:val="center"/>
    </w:pPr>
    <w:rPr>
      <w:caps/>
      <w:spacing w:val="65"/>
      <w:sz w:val="64"/>
    </w:rPr>
  </w:style>
  <w:style w:type="paragraph" w:customStyle="1" w:styleId="Subttulodecubierta">
    <w:name w:val="Subtítulo de cubierta"/>
    <w:basedOn w:val="Ttulodecubierta"/>
    <w:next w:val="Textoindependiente"/>
    <w:rsid w:val="0058764C"/>
    <w:pPr>
      <w:pBdr>
        <w:top w:val="single" w:sz="6" w:space="12" w:color="808080"/>
      </w:pBdr>
      <w:spacing w:after="0pt" w:line="22pt" w:lineRule="atLeast"/>
    </w:pPr>
    <w:rPr>
      <w:caps w:val="0"/>
      <w:smallCaps/>
      <w:spacing w:val="30"/>
      <w:sz w:val="44"/>
    </w:rPr>
  </w:style>
  <w:style w:type="character" w:customStyle="1" w:styleId="Superndice">
    <w:name w:val="Superíndice"/>
    <w:rsid w:val="0058764C"/>
    <w:rPr>
      <w:vertAlign w:val="superscript"/>
    </w:rPr>
  </w:style>
  <w:style w:type="paragraph" w:customStyle="1" w:styleId="Tindependientemantenido">
    <w:name w:val="T. independiente mantenido"/>
    <w:basedOn w:val="Textoindependiente"/>
    <w:rsid w:val="0058764C"/>
    <w:pPr>
      <w:keepNext/>
    </w:pPr>
  </w:style>
  <w:style w:type="paragraph" w:customStyle="1" w:styleId="Ttulodecaptulo">
    <w:name w:val="Título de capítulo"/>
    <w:basedOn w:val="Ttulo"/>
    <w:rsid w:val="0058764C"/>
  </w:style>
  <w:style w:type="paragraph" w:customStyle="1" w:styleId="Ttulodeparte">
    <w:name w:val="Título de parte"/>
    <w:basedOn w:val="Ttulo"/>
    <w:rsid w:val="0058764C"/>
  </w:style>
  <w:style w:type="paragraph" w:customStyle="1" w:styleId="Ttulodeldocumento">
    <w:name w:val="Título del documento"/>
    <w:next w:val="Normal"/>
    <w:rsid w:val="0058764C"/>
    <w:pPr>
      <w:pBdr>
        <w:top w:val="single" w:sz="6" w:space="6" w:color="808080"/>
        <w:bottom w:val="single" w:sz="6" w:space="6" w:color="808080"/>
      </w:pBdr>
      <w:spacing w:line="12pt" w:lineRule="atLeast"/>
      <w:jc w:val="center"/>
    </w:pPr>
    <w:rPr>
      <w:rFonts w:ascii="Garamond" w:eastAsia="Times New Roman" w:hAnsi="Garamond" w:cs="Times New Roman"/>
      <w:b/>
      <w:caps/>
      <w:spacing w:val="40"/>
      <w:sz w:val="18"/>
      <w:szCs w:val="20"/>
      <w:lang w:val="es-ES"/>
    </w:rPr>
  </w:style>
  <w:style w:type="character" w:styleId="CitaHTML">
    <w:name w:val="HTML Cite"/>
    <w:uiPriority w:val="99"/>
    <w:semiHidden/>
    <w:unhideWhenUsed/>
    <w:rsid w:val="0058764C"/>
    <w:rPr>
      <w:i w:val="0"/>
      <w:iCs w:val="0"/>
      <w:color w:val="568E1A"/>
    </w:rPr>
  </w:style>
  <w:style w:type="character" w:styleId="Textoennegrita">
    <w:name w:val="Strong"/>
    <w:uiPriority w:val="22"/>
    <w:qFormat/>
    <w:rsid w:val="0058764C"/>
    <w:rPr>
      <w:b/>
      <w:bCs/>
    </w:rPr>
  </w:style>
  <w:style w:type="paragraph" w:customStyle="1" w:styleId="cntindent36">
    <w:name w:val="cntindent36"/>
    <w:basedOn w:val="Normal"/>
    <w:rsid w:val="0058764C"/>
    <w:pPr>
      <w:spacing w:before="5pt" w:beforeAutospacing="1" w:after="5pt" w:afterAutospacing="1"/>
      <w:ind w:start="30pt"/>
    </w:pPr>
    <w:rPr>
      <w:rFonts w:ascii="Times New Roman" w:eastAsia="Times New Roman" w:hAnsi="Times New Roman" w:cs="Times New Roman"/>
      <w:noProof w:val="0"/>
      <w:lang w:val="es-PE" w:eastAsia="es-PE"/>
    </w:rPr>
  </w:style>
  <w:style w:type="character" w:customStyle="1" w:styleId="mw-headline">
    <w:name w:val="mw-headline"/>
    <w:basedOn w:val="Fuentedeprrafopredeter"/>
    <w:rsid w:val="0058764C"/>
  </w:style>
  <w:style w:type="character" w:styleId="MquinadeescribirHTML">
    <w:name w:val="HTML Typewriter"/>
    <w:uiPriority w:val="99"/>
    <w:semiHidden/>
    <w:unhideWhenUsed/>
    <w:rsid w:val="0058764C"/>
    <w:rPr>
      <w:rFonts w:ascii="Courier New" w:eastAsia="Times New Roman" w:hAnsi="Courier New" w:cs="Courier New"/>
      <w:sz w:val="20"/>
      <w:szCs w:val="20"/>
    </w:rPr>
  </w:style>
  <w:style w:type="paragraph" w:customStyle="1" w:styleId="actividadesv">
    <w:name w:val="actividades_v"/>
    <w:basedOn w:val="Normal"/>
    <w:rsid w:val="0058764C"/>
    <w:pPr>
      <w:shd w:val="clear" w:color="auto" w:fill="FFFFFF"/>
      <w:spacing w:before="15pt" w:after="15pt" w:line="21pt" w:lineRule="atLeast"/>
      <w:ind w:start="15pt" w:end="15pt" w:firstLine="30pt"/>
    </w:pPr>
    <w:rPr>
      <w:rFonts w:ascii="Times New Roman" w:eastAsia="Times New Roman" w:hAnsi="Times New Roman" w:cs="Times New Roman"/>
      <w:noProof w:val="0"/>
      <w:color w:val="000000"/>
      <w:lang w:val="es-PE" w:eastAsia="es-PE"/>
    </w:rPr>
  </w:style>
  <w:style w:type="paragraph" w:customStyle="1" w:styleId="actividades2g">
    <w:name w:val="actividades_2_g"/>
    <w:basedOn w:val="Normal"/>
    <w:rsid w:val="0058764C"/>
    <w:pPr>
      <w:shd w:val="clear" w:color="auto" w:fill="FFFFFF"/>
      <w:spacing w:before="15pt" w:after="15pt" w:line="21pt" w:lineRule="atLeast"/>
      <w:ind w:start="15pt" w:end="15pt" w:firstLine="30pt"/>
    </w:pPr>
    <w:rPr>
      <w:rFonts w:ascii="Times New Roman" w:eastAsia="Times New Roman" w:hAnsi="Times New Roman" w:cs="Times New Roman"/>
      <w:noProof w:val="0"/>
      <w:color w:val="000000"/>
      <w:lang w:val="es-PE" w:eastAsia="es-PE"/>
    </w:rPr>
  </w:style>
  <w:style w:type="paragraph" w:customStyle="1" w:styleId="ilr">
    <w:name w:val="il_r"/>
    <w:basedOn w:val="Normal"/>
    <w:rsid w:val="0058764C"/>
    <w:pPr>
      <w:spacing w:line="14.40pt" w:lineRule="auto"/>
    </w:pPr>
    <w:rPr>
      <w:rFonts w:ascii="Times New Roman" w:eastAsia="Times New Roman" w:hAnsi="Times New Roman" w:cs="Times New Roman"/>
      <w:noProof w:val="0"/>
      <w:color w:val="228822"/>
      <w:lang w:val="es-PE" w:eastAsia="es-PE"/>
    </w:rPr>
  </w:style>
  <w:style w:type="paragraph" w:customStyle="1" w:styleId="DecimalAligned">
    <w:name w:val="Decimal Aligned"/>
    <w:basedOn w:val="Normal"/>
    <w:uiPriority w:val="40"/>
    <w:qFormat/>
    <w:rsid w:val="0058764C"/>
    <w:pPr>
      <w:tabs>
        <w:tab w:val="decimal" w:pos="18pt"/>
      </w:tabs>
      <w:spacing w:after="10pt" w:line="13.80pt" w:lineRule="auto"/>
    </w:pPr>
    <w:rPr>
      <w:rFonts w:ascii="Calibri" w:eastAsia="Times New Roman" w:hAnsi="Calibri" w:cs="Times New Roman"/>
      <w:noProof w:val="0"/>
      <w:sz w:val="22"/>
      <w:szCs w:val="22"/>
    </w:rPr>
  </w:style>
  <w:style w:type="character" w:styleId="nfasissutil">
    <w:name w:val="Subtle Emphasis"/>
    <w:uiPriority w:val="19"/>
    <w:qFormat/>
    <w:rsid w:val="0058764C"/>
    <w:rPr>
      <w:rFonts w:eastAsia="Times New Roman" w:cs="Times New Roman"/>
      <w:bCs w:val="0"/>
      <w:i/>
      <w:iCs/>
      <w:color w:val="808080"/>
      <w:szCs w:val="22"/>
      <w:lang w:val="es-ES"/>
    </w:rPr>
  </w:style>
  <w:style w:type="table" w:styleId="Sombreadoclaro-nfasis1">
    <w:name w:val="Light Shading Accent 1"/>
    <w:basedOn w:val="Tablanormal"/>
    <w:uiPriority w:val="60"/>
    <w:rsid w:val="0058764C"/>
    <w:rPr>
      <w:rFonts w:ascii="Calibri" w:eastAsia="Times New Roman" w:hAnsi="Calibri" w:cs="Times New Roman"/>
      <w:color w:val="365F91"/>
      <w:sz w:val="22"/>
      <w:szCs w:val="22"/>
      <w:lang w:val="es-ES"/>
    </w:rPr>
    <w:tblPr>
      <w:tblStyleRowBandSize w:val="1"/>
      <w:tblStyleColBandSize w:val="1"/>
      <w:tblBorders>
        <w:top w:val="single" w:sz="8" w:space="0" w:color="4F81BD"/>
        <w:bottom w:val="single" w:sz="8" w:space="0" w:color="4F81BD"/>
      </w:tblBorders>
    </w:tblPr>
    <w:tblStylePr w:type="firstRow">
      <w:pPr>
        <w:spacing w:before="0pt" w:after="0pt" w:line="12pt" w:lineRule="auto"/>
      </w:pPr>
      <w:rPr>
        <w:b/>
        <w:bCs/>
      </w:rPr>
      <w:tblPr/>
      <w:tcPr>
        <w:tcBorders>
          <w:top w:val="single" w:sz="8" w:space="0" w:color="4F81BD"/>
          <w:start w:val="nil"/>
          <w:bottom w:val="single" w:sz="8" w:space="0" w:color="4F81BD"/>
          <w:end w:val="nil"/>
          <w:insideH w:val="nil"/>
          <w:insideV w:val="nil"/>
        </w:tcBorders>
      </w:tcPr>
    </w:tblStylePr>
    <w:tblStylePr w:type="lastRow">
      <w:pPr>
        <w:spacing w:before="0pt" w:after="0pt" w:line="12pt" w:lineRule="auto"/>
      </w:pPr>
      <w:rPr>
        <w:b/>
        <w:bCs/>
      </w:rPr>
      <w:tblPr/>
      <w:tcPr>
        <w:tcBorders>
          <w:top w:val="single" w:sz="8" w:space="0" w:color="4F81BD"/>
          <w:start w:val="nil"/>
          <w:bottom w:val="single" w:sz="8" w:space="0" w:color="4F81BD"/>
          <w:end w:val="nil"/>
          <w:insideH w:val="nil"/>
          <w:insideV w:val="nil"/>
        </w:tcBorders>
      </w:tcPr>
    </w:tblStylePr>
    <w:tblStylePr w:type="firstCol">
      <w:rPr>
        <w:b/>
        <w:bCs/>
      </w:rPr>
    </w:tblStylePr>
    <w:tblStylePr w:type="lastCol">
      <w:rPr>
        <w:b/>
        <w:bCs/>
      </w:rPr>
    </w:tblStylePr>
    <w:tblStylePr w:type="band1Vert">
      <w:tblPr/>
      <w:tcPr>
        <w:tcBorders>
          <w:start w:val="nil"/>
          <w:end w:val="nil"/>
          <w:insideH w:val="nil"/>
          <w:insideV w:val="nil"/>
        </w:tcBorders>
        <w:shd w:val="clear" w:color="auto" w:fill="D3DFEE"/>
      </w:tcPr>
    </w:tblStylePr>
    <w:tblStylePr w:type="band1Horz">
      <w:tblPr/>
      <w:tcPr>
        <w:tcBorders>
          <w:start w:val="nil"/>
          <w:end w:val="nil"/>
          <w:insideH w:val="nil"/>
          <w:insideV w:val="nil"/>
        </w:tcBorders>
        <w:shd w:val="clear" w:color="auto" w:fill="D3DFEE"/>
      </w:tcPr>
    </w:tblStylePr>
  </w:style>
  <w:style w:type="table" w:styleId="Listaclara-nfasis1">
    <w:name w:val="Light List Accent 1"/>
    <w:basedOn w:val="Tablanormal"/>
    <w:uiPriority w:val="61"/>
    <w:rsid w:val="0058764C"/>
    <w:rPr>
      <w:rFonts w:ascii="Times New Roman" w:eastAsia="Times New Roman" w:hAnsi="Times New Roman" w:cs="Times New Roman"/>
      <w:sz w:val="20"/>
      <w:szCs w:val="20"/>
      <w:lang w:eastAsia="es-PE"/>
    </w:rPr>
    <w:tblPr>
      <w:tblStyleRowBandSize w:val="1"/>
      <w:tblStyleColBandSize w:val="1"/>
      <w:tblBorders>
        <w:top w:val="single" w:sz="8" w:space="0" w:color="4F81BD"/>
        <w:start w:val="single" w:sz="8" w:space="0" w:color="4F81BD"/>
        <w:bottom w:val="single" w:sz="8" w:space="0" w:color="4F81BD"/>
        <w:end w:val="single" w:sz="8" w:space="0" w:color="4F81BD"/>
      </w:tblBorders>
    </w:tblPr>
    <w:tblStylePr w:type="firstRow">
      <w:pPr>
        <w:spacing w:before="0pt" w:after="0pt" w:line="12pt" w:lineRule="auto"/>
      </w:pPr>
      <w:rPr>
        <w:b/>
        <w:bCs/>
        <w:color w:val="FFFFFF"/>
      </w:rPr>
      <w:tblPr/>
      <w:tcPr>
        <w:shd w:val="clear" w:color="auto" w:fill="4F81BD"/>
      </w:tcPr>
    </w:tblStylePr>
    <w:tblStylePr w:type="lastRow">
      <w:pPr>
        <w:spacing w:before="0pt" w:after="0pt" w:line="12pt" w:lineRule="auto"/>
      </w:pPr>
      <w:rPr>
        <w:b/>
        <w:bCs/>
      </w:rPr>
      <w:tblPr/>
      <w:tcPr>
        <w:tcBorders>
          <w:top w:val="double" w:sz="6" w:space="0" w:color="4F81BD"/>
          <w:start w:val="single" w:sz="8" w:space="0" w:color="4F81BD"/>
          <w:bottom w:val="single" w:sz="8" w:space="0" w:color="4F81BD"/>
          <w:end w:val="single" w:sz="8" w:space="0" w:color="4F81BD"/>
        </w:tcBorders>
      </w:tcPr>
    </w:tblStylePr>
    <w:tblStylePr w:type="firstCol">
      <w:rPr>
        <w:b/>
        <w:bCs/>
      </w:rPr>
    </w:tblStylePr>
    <w:tblStylePr w:type="lastCol">
      <w:rPr>
        <w:b/>
        <w:bCs/>
      </w:rPr>
    </w:tblStylePr>
    <w:tblStylePr w:type="band1Vert">
      <w:tblPr/>
      <w:tcPr>
        <w:tcBorders>
          <w:top w:val="single" w:sz="8" w:space="0" w:color="4F81BD"/>
          <w:start w:val="single" w:sz="8" w:space="0" w:color="4F81BD"/>
          <w:bottom w:val="single" w:sz="8" w:space="0" w:color="4F81BD"/>
          <w:end w:val="single" w:sz="8" w:space="0" w:color="4F81BD"/>
        </w:tcBorders>
      </w:tcPr>
    </w:tblStylePr>
    <w:tblStylePr w:type="band1Horz">
      <w:tblPr/>
      <w:tcPr>
        <w:tcBorders>
          <w:top w:val="single" w:sz="8" w:space="0" w:color="4F81BD"/>
          <w:start w:val="single" w:sz="8" w:space="0" w:color="4F81BD"/>
          <w:bottom w:val="single" w:sz="8" w:space="0" w:color="4F81BD"/>
          <w:end w:val="single" w:sz="8" w:space="0" w:color="4F81BD"/>
        </w:tcBorders>
      </w:tcPr>
    </w:tblStylePr>
  </w:style>
  <w:style w:type="table" w:styleId="Listaclara">
    <w:name w:val="Light List"/>
    <w:basedOn w:val="Tablanormal"/>
    <w:uiPriority w:val="61"/>
    <w:rsid w:val="0058764C"/>
    <w:rPr>
      <w:rFonts w:ascii="Times New Roman" w:eastAsia="Times New Roman" w:hAnsi="Times New Roman" w:cs="Times New Roman"/>
      <w:sz w:val="20"/>
      <w:szCs w:val="20"/>
      <w:lang w:eastAsia="es-PE"/>
    </w:rPr>
    <w:tblPr>
      <w:tblStyleRowBandSize w:val="1"/>
      <w:tblStyleColBandSize w:val="1"/>
      <w:tblBorders>
        <w:top w:val="single" w:sz="8" w:space="0" w:color="000000"/>
        <w:start w:val="single" w:sz="8" w:space="0" w:color="000000"/>
        <w:bottom w:val="single" w:sz="8" w:space="0" w:color="000000"/>
        <w:end w:val="single" w:sz="8" w:space="0" w:color="000000"/>
      </w:tblBorders>
    </w:tblPr>
    <w:tblStylePr w:type="firstRow">
      <w:pPr>
        <w:spacing w:before="0pt" w:after="0pt" w:line="12pt" w:lineRule="auto"/>
      </w:pPr>
      <w:rPr>
        <w:b/>
        <w:bCs/>
        <w:color w:val="FFFFFF"/>
      </w:rPr>
      <w:tblPr/>
      <w:tcPr>
        <w:shd w:val="clear" w:color="auto" w:fill="000000"/>
      </w:tcPr>
    </w:tblStylePr>
    <w:tblStylePr w:type="lastRow">
      <w:pPr>
        <w:spacing w:before="0pt" w:after="0pt" w:line="12pt" w:lineRule="auto"/>
      </w:pPr>
      <w:rPr>
        <w:b/>
        <w:bCs/>
      </w:rPr>
      <w:tblPr/>
      <w:tcPr>
        <w:tcBorders>
          <w:top w:val="double" w:sz="6" w:space="0" w:color="000000"/>
          <w:start w:val="single" w:sz="8" w:space="0" w:color="000000"/>
          <w:bottom w:val="single" w:sz="8" w:space="0" w:color="000000"/>
          <w:end w:val="single" w:sz="8" w:space="0" w:color="000000"/>
        </w:tcBorders>
      </w:tcPr>
    </w:tblStylePr>
    <w:tblStylePr w:type="firstCol">
      <w:rPr>
        <w:b/>
        <w:bCs/>
      </w:rPr>
    </w:tblStylePr>
    <w:tblStylePr w:type="lastCol">
      <w:rPr>
        <w:b/>
        <w:bCs/>
      </w:rPr>
    </w:tblStylePr>
    <w:tblStylePr w:type="band1Vert">
      <w:tblPr/>
      <w:tcPr>
        <w:tcBorders>
          <w:top w:val="single" w:sz="8" w:space="0" w:color="000000"/>
          <w:start w:val="single" w:sz="8" w:space="0" w:color="000000"/>
          <w:bottom w:val="single" w:sz="8" w:space="0" w:color="000000"/>
          <w:end w:val="single" w:sz="8" w:space="0" w:color="000000"/>
        </w:tcBorders>
      </w:tcPr>
    </w:tblStylePr>
    <w:tblStylePr w:type="band1Horz">
      <w:tblPr/>
      <w:tcPr>
        <w:tcBorders>
          <w:top w:val="single" w:sz="8" w:space="0" w:color="000000"/>
          <w:start w:val="single" w:sz="8" w:space="0" w:color="000000"/>
          <w:bottom w:val="single" w:sz="8" w:space="0" w:color="000000"/>
          <w:end w:val="single" w:sz="8" w:space="0" w:color="000000"/>
        </w:tcBorders>
      </w:tcPr>
    </w:tblStylePr>
  </w:style>
  <w:style w:type="table" w:styleId="Sombreadoclaro-nfasis6">
    <w:name w:val="Light Shading Accent 6"/>
    <w:basedOn w:val="Tablanormal"/>
    <w:uiPriority w:val="60"/>
    <w:rsid w:val="0058764C"/>
    <w:rPr>
      <w:rFonts w:ascii="Times New Roman" w:eastAsia="Times New Roman" w:hAnsi="Times New Roman" w:cs="Times New Roman"/>
      <w:color w:val="E36C0A"/>
      <w:sz w:val="20"/>
      <w:szCs w:val="20"/>
      <w:lang w:eastAsia="es-PE"/>
    </w:rPr>
    <w:tblPr>
      <w:tblStyleRowBandSize w:val="1"/>
      <w:tblStyleColBandSize w:val="1"/>
      <w:tblBorders>
        <w:top w:val="single" w:sz="8" w:space="0" w:color="F79646"/>
        <w:bottom w:val="single" w:sz="8" w:space="0" w:color="F79646"/>
      </w:tblBorders>
    </w:tblPr>
    <w:tblStylePr w:type="firstRow">
      <w:pPr>
        <w:spacing w:before="0pt" w:after="0pt" w:line="12pt" w:lineRule="auto"/>
      </w:pPr>
      <w:rPr>
        <w:b/>
        <w:bCs/>
      </w:rPr>
      <w:tblPr/>
      <w:tcPr>
        <w:tcBorders>
          <w:top w:val="single" w:sz="8" w:space="0" w:color="F79646"/>
          <w:start w:val="nil"/>
          <w:bottom w:val="single" w:sz="8" w:space="0" w:color="F79646"/>
          <w:end w:val="nil"/>
          <w:insideH w:val="nil"/>
          <w:insideV w:val="nil"/>
        </w:tcBorders>
      </w:tcPr>
    </w:tblStylePr>
    <w:tblStylePr w:type="lastRow">
      <w:pPr>
        <w:spacing w:before="0pt" w:after="0pt" w:line="12pt" w:lineRule="auto"/>
      </w:pPr>
      <w:rPr>
        <w:b/>
        <w:bCs/>
      </w:rPr>
      <w:tblPr/>
      <w:tcPr>
        <w:tcBorders>
          <w:top w:val="single" w:sz="8" w:space="0" w:color="F79646"/>
          <w:start w:val="nil"/>
          <w:bottom w:val="single" w:sz="8" w:space="0" w:color="F79646"/>
          <w:end w:val="nil"/>
          <w:insideH w:val="nil"/>
          <w:insideV w:val="nil"/>
        </w:tcBorders>
      </w:tcPr>
    </w:tblStylePr>
    <w:tblStylePr w:type="firstCol">
      <w:rPr>
        <w:b/>
        <w:bCs/>
      </w:rPr>
    </w:tblStylePr>
    <w:tblStylePr w:type="lastCol">
      <w:rPr>
        <w:b/>
        <w:bCs/>
      </w:rPr>
    </w:tblStylePr>
    <w:tblStylePr w:type="band1Vert">
      <w:tblPr/>
      <w:tcPr>
        <w:tcBorders>
          <w:start w:val="nil"/>
          <w:end w:val="nil"/>
          <w:insideH w:val="nil"/>
          <w:insideV w:val="nil"/>
        </w:tcBorders>
        <w:shd w:val="clear" w:color="auto" w:fill="FDE4D0"/>
      </w:tcPr>
    </w:tblStylePr>
    <w:tblStylePr w:type="band1Horz">
      <w:tblPr/>
      <w:tcPr>
        <w:tcBorders>
          <w:start w:val="nil"/>
          <w:end w:val="nil"/>
          <w:insideH w:val="nil"/>
          <w:insideV w:val="nil"/>
        </w:tcBorders>
        <w:shd w:val="clear" w:color="auto" w:fill="FDE4D0"/>
      </w:tcPr>
    </w:tblStylePr>
  </w:style>
  <w:style w:type="table" w:styleId="Sombreadoclaro-nfasis5">
    <w:name w:val="Light Shading Accent 5"/>
    <w:basedOn w:val="Tablanormal"/>
    <w:uiPriority w:val="60"/>
    <w:rsid w:val="0058764C"/>
    <w:rPr>
      <w:rFonts w:ascii="Times New Roman" w:eastAsia="Times New Roman" w:hAnsi="Times New Roman" w:cs="Times New Roman"/>
      <w:color w:val="31849B"/>
      <w:sz w:val="20"/>
      <w:szCs w:val="20"/>
      <w:lang w:eastAsia="es-PE"/>
    </w:rPr>
    <w:tblPr>
      <w:tblStyleRowBandSize w:val="1"/>
      <w:tblStyleColBandSize w:val="1"/>
      <w:tblBorders>
        <w:top w:val="single" w:sz="8" w:space="0" w:color="4BACC6"/>
        <w:bottom w:val="single" w:sz="8" w:space="0" w:color="4BACC6"/>
      </w:tblBorders>
    </w:tblPr>
    <w:tblStylePr w:type="firstRow">
      <w:pPr>
        <w:spacing w:before="0pt" w:after="0pt" w:line="12pt" w:lineRule="auto"/>
      </w:pPr>
      <w:rPr>
        <w:b/>
        <w:bCs/>
      </w:rPr>
      <w:tblPr/>
      <w:tcPr>
        <w:tcBorders>
          <w:top w:val="single" w:sz="8" w:space="0" w:color="4BACC6"/>
          <w:start w:val="nil"/>
          <w:bottom w:val="single" w:sz="8" w:space="0" w:color="4BACC6"/>
          <w:end w:val="nil"/>
          <w:insideH w:val="nil"/>
          <w:insideV w:val="nil"/>
        </w:tcBorders>
      </w:tcPr>
    </w:tblStylePr>
    <w:tblStylePr w:type="lastRow">
      <w:pPr>
        <w:spacing w:before="0pt" w:after="0pt" w:line="12pt" w:lineRule="auto"/>
      </w:pPr>
      <w:rPr>
        <w:b/>
        <w:bCs/>
      </w:rPr>
      <w:tblPr/>
      <w:tcPr>
        <w:tcBorders>
          <w:top w:val="single" w:sz="8" w:space="0" w:color="4BACC6"/>
          <w:start w:val="nil"/>
          <w:bottom w:val="single" w:sz="8" w:space="0" w:color="4BACC6"/>
          <w:end w:val="nil"/>
          <w:insideH w:val="nil"/>
          <w:insideV w:val="nil"/>
        </w:tcBorders>
      </w:tcPr>
    </w:tblStylePr>
    <w:tblStylePr w:type="firstCol">
      <w:rPr>
        <w:b/>
        <w:bCs/>
      </w:rPr>
    </w:tblStylePr>
    <w:tblStylePr w:type="lastCol">
      <w:rPr>
        <w:b/>
        <w:bCs/>
      </w:rPr>
    </w:tblStylePr>
    <w:tblStylePr w:type="band1Vert">
      <w:tblPr/>
      <w:tcPr>
        <w:tcBorders>
          <w:start w:val="nil"/>
          <w:end w:val="nil"/>
          <w:insideH w:val="nil"/>
          <w:insideV w:val="nil"/>
        </w:tcBorders>
        <w:shd w:val="clear" w:color="auto" w:fill="D2EAF1"/>
      </w:tcPr>
    </w:tblStylePr>
    <w:tblStylePr w:type="band1Horz">
      <w:tblPr/>
      <w:tcPr>
        <w:tcBorders>
          <w:start w:val="nil"/>
          <w:end w:val="nil"/>
          <w:insideH w:val="nil"/>
          <w:insideV w:val="nil"/>
        </w:tcBorders>
        <w:shd w:val="clear" w:color="auto" w:fill="D2EAF1"/>
      </w:tcPr>
    </w:tblStylePr>
  </w:style>
  <w:style w:type="table" w:styleId="Sombreadoclaro-nfasis4">
    <w:name w:val="Light Shading Accent 4"/>
    <w:basedOn w:val="Tablanormal"/>
    <w:uiPriority w:val="60"/>
    <w:rsid w:val="0058764C"/>
    <w:rPr>
      <w:rFonts w:ascii="Times New Roman" w:eastAsia="Times New Roman" w:hAnsi="Times New Roman" w:cs="Times New Roman"/>
      <w:color w:val="5F497A"/>
      <w:sz w:val="20"/>
      <w:szCs w:val="20"/>
      <w:lang w:eastAsia="es-PE"/>
    </w:rPr>
    <w:tblPr>
      <w:tblStyleRowBandSize w:val="1"/>
      <w:tblStyleColBandSize w:val="1"/>
      <w:tblBorders>
        <w:top w:val="single" w:sz="8" w:space="0" w:color="8064A2"/>
        <w:bottom w:val="single" w:sz="8" w:space="0" w:color="8064A2"/>
      </w:tblBorders>
    </w:tblPr>
    <w:tblStylePr w:type="firstRow">
      <w:pPr>
        <w:spacing w:before="0pt" w:after="0pt" w:line="12pt" w:lineRule="auto"/>
      </w:pPr>
      <w:rPr>
        <w:b/>
        <w:bCs/>
      </w:rPr>
      <w:tblPr/>
      <w:tcPr>
        <w:tcBorders>
          <w:top w:val="single" w:sz="8" w:space="0" w:color="8064A2"/>
          <w:start w:val="nil"/>
          <w:bottom w:val="single" w:sz="8" w:space="0" w:color="8064A2"/>
          <w:end w:val="nil"/>
          <w:insideH w:val="nil"/>
          <w:insideV w:val="nil"/>
        </w:tcBorders>
      </w:tcPr>
    </w:tblStylePr>
    <w:tblStylePr w:type="lastRow">
      <w:pPr>
        <w:spacing w:before="0pt" w:after="0pt" w:line="12pt" w:lineRule="auto"/>
      </w:pPr>
      <w:rPr>
        <w:b/>
        <w:bCs/>
      </w:rPr>
      <w:tblPr/>
      <w:tcPr>
        <w:tcBorders>
          <w:top w:val="single" w:sz="8" w:space="0" w:color="8064A2"/>
          <w:start w:val="nil"/>
          <w:bottom w:val="single" w:sz="8" w:space="0" w:color="8064A2"/>
          <w:end w:val="nil"/>
          <w:insideH w:val="nil"/>
          <w:insideV w:val="nil"/>
        </w:tcBorders>
      </w:tcPr>
    </w:tblStylePr>
    <w:tblStylePr w:type="firstCol">
      <w:rPr>
        <w:b/>
        <w:bCs/>
      </w:rPr>
    </w:tblStylePr>
    <w:tblStylePr w:type="lastCol">
      <w:rPr>
        <w:b/>
        <w:bCs/>
      </w:rPr>
    </w:tblStylePr>
    <w:tblStylePr w:type="band1Vert">
      <w:tblPr/>
      <w:tcPr>
        <w:tcBorders>
          <w:start w:val="nil"/>
          <w:end w:val="nil"/>
          <w:insideH w:val="nil"/>
          <w:insideV w:val="nil"/>
        </w:tcBorders>
        <w:shd w:val="clear" w:color="auto" w:fill="DFD8E8"/>
      </w:tcPr>
    </w:tblStylePr>
    <w:tblStylePr w:type="band1Horz">
      <w:tblPr/>
      <w:tcPr>
        <w:tcBorders>
          <w:start w:val="nil"/>
          <w:end w:val="nil"/>
          <w:insideH w:val="nil"/>
          <w:insideV w:val="nil"/>
        </w:tcBorders>
        <w:shd w:val="clear" w:color="auto" w:fill="DFD8E8"/>
      </w:tcPr>
    </w:tblStylePr>
  </w:style>
  <w:style w:type="table" w:styleId="Sombreadomedio2-nfasis5">
    <w:name w:val="Medium Shading 2 Accent 5"/>
    <w:basedOn w:val="Tablanormal"/>
    <w:uiPriority w:val="64"/>
    <w:rsid w:val="0058764C"/>
    <w:rPr>
      <w:rFonts w:ascii="Times New Roman" w:eastAsia="Times New Roman" w:hAnsi="Times New Roman" w:cs="Times New Roman"/>
      <w:sz w:val="20"/>
      <w:szCs w:val="20"/>
      <w:lang w:eastAsia="es-PE"/>
    </w:rPr>
    <w:tblPr>
      <w:tblStyleRowBandSize w:val="1"/>
      <w:tblStyleColBandSize w:val="1"/>
      <w:tblBorders>
        <w:top w:val="single" w:sz="18" w:space="0" w:color="auto"/>
        <w:bottom w:val="single" w:sz="18" w:space="0" w:color="auto"/>
      </w:tblBorders>
    </w:tblPr>
    <w:tblStylePr w:type="firstRow">
      <w:pPr>
        <w:spacing w:before="0pt" w:after="0pt" w:line="12pt" w:lineRule="auto"/>
      </w:pPr>
      <w:rPr>
        <w:b/>
        <w:bCs/>
        <w:color w:val="FFFFFF"/>
      </w:rPr>
      <w:tblPr/>
      <w:tcPr>
        <w:tcBorders>
          <w:top w:val="single" w:sz="18" w:space="0" w:color="auto"/>
          <w:start w:val="nil"/>
          <w:bottom w:val="single" w:sz="18" w:space="0" w:color="auto"/>
          <w:end w:val="nil"/>
          <w:insideH w:val="nil"/>
          <w:insideV w:val="nil"/>
        </w:tcBorders>
        <w:shd w:val="clear" w:color="auto" w:fill="4BACC6"/>
      </w:tcPr>
    </w:tblStylePr>
    <w:tblStylePr w:type="lastRow">
      <w:pPr>
        <w:spacing w:before="0pt" w:after="0pt" w:line="12pt" w:lineRule="auto"/>
      </w:pPr>
      <w:rPr>
        <w:color w:val="auto"/>
      </w:rPr>
      <w:tblPr/>
      <w:tcPr>
        <w:tcBorders>
          <w:top w:val="double" w:sz="6" w:space="0" w:color="auto"/>
          <w:start w:val="nil"/>
          <w:bottom w:val="single" w:sz="18" w:space="0" w:color="auto"/>
          <w:end w:val="nil"/>
          <w:insideH w:val="nil"/>
          <w:insideV w:val="nil"/>
        </w:tcBorders>
        <w:shd w:val="clear" w:color="auto" w:fill="FFFFFF"/>
      </w:tcPr>
    </w:tblStylePr>
    <w:tblStylePr w:type="firstCol">
      <w:rPr>
        <w:b/>
        <w:bCs/>
        <w:color w:val="FFFFFF"/>
      </w:rPr>
      <w:tblPr/>
      <w:tcPr>
        <w:tcBorders>
          <w:top w:val="nil"/>
          <w:start w:val="nil"/>
          <w:bottom w:val="single" w:sz="18" w:space="0" w:color="auto"/>
          <w:end w:val="nil"/>
          <w:insideH w:val="nil"/>
          <w:insideV w:val="nil"/>
        </w:tcBorders>
        <w:shd w:val="clear" w:color="auto" w:fill="4BACC6"/>
      </w:tcPr>
    </w:tblStylePr>
    <w:tblStylePr w:type="lastCol">
      <w:rPr>
        <w:b/>
        <w:bCs/>
        <w:color w:val="FFFFFF"/>
      </w:rPr>
      <w:tblPr/>
      <w:tcPr>
        <w:tcBorders>
          <w:start w:val="nil"/>
          <w:end w:val="nil"/>
          <w:insideH w:val="nil"/>
          <w:insideV w:val="nil"/>
        </w:tcBorders>
        <w:shd w:val="clear" w:color="auto" w:fill="4BACC6"/>
      </w:tcPr>
    </w:tblStylePr>
    <w:tblStylePr w:type="band1Vert">
      <w:tblPr/>
      <w:tcPr>
        <w:tcBorders>
          <w:start w:val="nil"/>
          <w:end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start w:val="nil"/>
          <w:bottom w:val="single" w:sz="18" w:space="0" w:color="auto"/>
          <w:end w:val="nil"/>
          <w:insideH w:val="nil"/>
          <w:insideV w:val="nil"/>
        </w:tcBorders>
      </w:tcPr>
    </w:tblStylePr>
    <w:tblStylePr w:type="nwCell">
      <w:rPr>
        <w:color w:val="FFFFFF"/>
      </w:rPr>
      <w:tblPr/>
      <w:tcPr>
        <w:tcBorders>
          <w:top w:val="single" w:sz="18" w:space="0" w:color="auto"/>
          <w:start w:val="nil"/>
          <w:bottom w:val="single" w:sz="18" w:space="0" w:color="auto"/>
          <w:end w:val="nil"/>
          <w:insideH w:val="nil"/>
          <w:insideV w:val="nil"/>
        </w:tcBorders>
      </w:tcPr>
    </w:tblStylePr>
  </w:style>
  <w:style w:type="character" w:customStyle="1" w:styleId="SinespaciadoCar">
    <w:name w:val="Sin espaciado Car"/>
    <w:link w:val="Sinespaciado"/>
    <w:uiPriority w:val="1"/>
    <w:rsid w:val="0058764C"/>
    <w:rPr>
      <w:rFonts w:eastAsiaTheme="minorEastAsia"/>
      <w:sz w:val="22"/>
      <w:szCs w:val="22"/>
      <w:lang w:val="en-US" w:eastAsia="zh-CN"/>
    </w:rPr>
  </w:style>
  <w:style w:type="paragraph" w:customStyle="1" w:styleId="2Paragraph">
    <w:name w:val="2Paragraph"/>
    <w:rsid w:val="0058764C"/>
    <w:pPr>
      <w:widowControl w:val="0"/>
      <w:tabs>
        <w:tab w:val="start" w:pos="36pt"/>
        <w:tab w:val="start" w:pos="72pt"/>
      </w:tabs>
      <w:autoSpaceDE w:val="0"/>
      <w:autoSpaceDN w:val="0"/>
      <w:adjustRightInd w:val="0"/>
      <w:ind w:start="72pt" w:hanging="36pt"/>
    </w:pPr>
    <w:rPr>
      <w:rFonts w:ascii="Times New Roman" w:eastAsia="Times New Roman" w:hAnsi="Times New Roman" w:cs="Times New Roman"/>
      <w:sz w:val="20"/>
      <w:szCs w:val="20"/>
      <w:lang w:val="es-MX" w:eastAsia="es-ES"/>
    </w:rPr>
  </w:style>
  <w:style w:type="paragraph" w:styleId="Textosinformato">
    <w:name w:val="Plain Text"/>
    <w:basedOn w:val="Normal"/>
    <w:link w:val="TextosinformatoCar"/>
    <w:uiPriority w:val="99"/>
    <w:unhideWhenUsed/>
    <w:rsid w:val="0058764C"/>
    <w:rPr>
      <w:rFonts w:ascii="Consolas" w:eastAsia="Calibri" w:hAnsi="Consolas" w:cs="Times New Roman"/>
      <w:noProof w:val="0"/>
      <w:sz w:val="21"/>
      <w:szCs w:val="21"/>
    </w:rPr>
  </w:style>
  <w:style w:type="character" w:customStyle="1" w:styleId="TextosinformatoCar">
    <w:name w:val="Texto sin formato Car"/>
    <w:basedOn w:val="Fuentedeprrafopredeter"/>
    <w:link w:val="Textosinformato"/>
    <w:uiPriority w:val="99"/>
    <w:rsid w:val="0058764C"/>
    <w:rPr>
      <w:rFonts w:ascii="Consolas" w:eastAsia="Calibri" w:hAnsi="Consolas" w:cs="Times New Roman"/>
      <w:sz w:val="21"/>
      <w:szCs w:val="21"/>
      <w:lang w:val="es-ES"/>
    </w:rPr>
  </w:style>
  <w:style w:type="paragraph" w:customStyle="1" w:styleId="Contenidodecapitulos1">
    <w:name w:val="Contenido de capitulos 1"/>
    <w:aliases w:val="2,3"/>
    <w:basedOn w:val="Normal"/>
    <w:qFormat/>
    <w:rsid w:val="0058764C"/>
    <w:pPr>
      <w:widowControl w:val="0"/>
      <w:numPr>
        <w:numId w:val="2"/>
      </w:numPr>
      <w:spacing w:line="24pt" w:lineRule="auto"/>
    </w:pPr>
    <w:rPr>
      <w:rFonts w:ascii="Arial" w:eastAsia="Times New Roman" w:hAnsi="Arial" w:cs="Arial"/>
      <w:b/>
      <w:noProof w:val="0"/>
      <w:lang w:val="es-MX"/>
    </w:rPr>
  </w:style>
  <w:style w:type="character" w:customStyle="1" w:styleId="hps">
    <w:name w:val="hps"/>
    <w:rsid w:val="0058764C"/>
  </w:style>
  <w:style w:type="character" w:customStyle="1" w:styleId="apple-converted-space">
    <w:name w:val="apple-converted-space"/>
    <w:rsid w:val="0058764C"/>
  </w:style>
  <w:style w:type="character" w:customStyle="1" w:styleId="caps">
    <w:name w:val="caps"/>
    <w:rsid w:val="0058764C"/>
  </w:style>
  <w:style w:type="character" w:customStyle="1" w:styleId="a">
    <w:name w:val="a"/>
    <w:rsid w:val="0058764C"/>
  </w:style>
  <w:style w:type="character" w:customStyle="1" w:styleId="l7">
    <w:name w:val="l7"/>
    <w:rsid w:val="0058764C"/>
  </w:style>
  <w:style w:type="character" w:customStyle="1" w:styleId="l6">
    <w:name w:val="l6"/>
    <w:rsid w:val="0058764C"/>
  </w:style>
  <w:style w:type="character" w:customStyle="1" w:styleId="l11">
    <w:name w:val="l11"/>
    <w:rsid w:val="0058764C"/>
  </w:style>
  <w:style w:type="character" w:customStyle="1" w:styleId="l8">
    <w:name w:val="l8"/>
    <w:rsid w:val="0058764C"/>
  </w:style>
  <w:style w:type="character" w:customStyle="1" w:styleId="l10">
    <w:name w:val="l10"/>
    <w:rsid w:val="0058764C"/>
  </w:style>
  <w:style w:type="character" w:customStyle="1" w:styleId="l9">
    <w:name w:val="l9"/>
    <w:rsid w:val="0058764C"/>
  </w:style>
  <w:style w:type="character" w:customStyle="1" w:styleId="l12">
    <w:name w:val="l12"/>
    <w:rsid w:val="0058764C"/>
  </w:style>
  <w:style w:type="character" w:customStyle="1" w:styleId="Notaalpie-baseCar">
    <w:name w:val="Nota al pie - base Car"/>
    <w:link w:val="Notaalpie-base"/>
    <w:rsid w:val="0058764C"/>
    <w:rPr>
      <w:rFonts w:ascii="Garamond" w:eastAsia="Times New Roman" w:hAnsi="Garamond" w:cs="Times New Roman"/>
      <w:sz w:val="18"/>
      <w:szCs w:val="20"/>
    </w:rPr>
  </w:style>
  <w:style w:type="character" w:customStyle="1" w:styleId="TextocomentarioCar1">
    <w:name w:val="Texto comentario Car1"/>
    <w:basedOn w:val="Notaalpie-baseCar"/>
    <w:uiPriority w:val="99"/>
    <w:semiHidden/>
    <w:rsid w:val="0058764C"/>
    <w:rPr>
      <w:rFonts w:ascii="Garamond" w:eastAsia="Times New Roman" w:hAnsi="Garamond" w:cs="Times New Roman"/>
      <w:sz w:val="18"/>
      <w:szCs w:val="20"/>
    </w:rPr>
  </w:style>
  <w:style w:type="character" w:styleId="Textodelmarcadordeposicin">
    <w:name w:val="Placeholder Text"/>
    <w:uiPriority w:val="99"/>
    <w:semiHidden/>
    <w:rsid w:val="0058764C"/>
    <w:rPr>
      <w:color w:val="808080"/>
    </w:rPr>
  </w:style>
  <w:style w:type="paragraph" w:customStyle="1" w:styleId="Els-reference">
    <w:name w:val="Els-reference"/>
    <w:rsid w:val="0058764C"/>
    <w:pPr>
      <w:tabs>
        <w:tab w:val="start" w:pos="15.60pt"/>
      </w:tabs>
      <w:spacing w:line="10pt" w:lineRule="exact"/>
      <w:ind w:start="15.60pt" w:hanging="15.60pt"/>
    </w:pPr>
    <w:rPr>
      <w:rFonts w:ascii="Times New Roman" w:eastAsia="Times New Roman" w:hAnsi="Times New Roman" w:cs="Times New Roman"/>
      <w:noProof/>
      <w:sz w:val="16"/>
      <w:szCs w:val="20"/>
      <w:lang w:val="en-US"/>
    </w:rPr>
  </w:style>
  <w:style w:type="paragraph" w:customStyle="1" w:styleId="BodyText">
    <w:name w:val="Body_Text"/>
    <w:basedOn w:val="Normal"/>
    <w:qFormat/>
    <w:rsid w:val="0058764C"/>
    <w:pPr>
      <w:spacing w:before="6pt" w:after="6pt"/>
      <w:ind w:firstLine="14.20pt"/>
    </w:pPr>
    <w:rPr>
      <w:rFonts w:ascii="Times New Roman" w:eastAsia="Calibri" w:hAnsi="Times New Roman" w:cs="Times New Roman"/>
      <w:noProof w:val="0"/>
      <w:szCs w:val="22"/>
      <w:lang w:val="en-US"/>
    </w:rPr>
  </w:style>
  <w:style w:type="paragraph" w:customStyle="1" w:styleId="Epgrafe1">
    <w:name w:val="Epígrafe1"/>
    <w:basedOn w:val="Normal"/>
    <w:next w:val="Normal"/>
    <w:uiPriority w:val="35"/>
    <w:unhideWhenUsed/>
    <w:qFormat/>
    <w:rsid w:val="0058764C"/>
    <w:rPr>
      <w:rFonts w:ascii="Times New Roman" w:eastAsia="Times New Roman" w:hAnsi="Times New Roman" w:cs="Times New Roman"/>
      <w:b/>
      <w:bCs/>
      <w:noProof w:val="0"/>
      <w:sz w:val="20"/>
      <w:szCs w:val="20"/>
      <w:lang w:eastAsia="es-ES"/>
    </w:rPr>
  </w:style>
  <w:style w:type="paragraph" w:customStyle="1" w:styleId="Cuerpo">
    <w:name w:val="Cuerpo"/>
    <w:rsid w:val="0058764C"/>
    <w:pPr>
      <w:pBdr>
        <w:top w:val="nil"/>
        <w:left w:val="nil"/>
        <w:bottom w:val="nil"/>
        <w:right w:val="nil"/>
        <w:between w:val="nil"/>
        <w:bar w:val="nil"/>
      </w:pBdr>
    </w:pPr>
    <w:rPr>
      <w:rFonts w:ascii="Helvetica" w:eastAsia="Arial Unicode MS" w:hAnsi="Helvetica" w:cs="Arial Unicode MS"/>
      <w:color w:val="000000"/>
      <w:sz w:val="22"/>
      <w:szCs w:val="22"/>
      <w:bdr w:val="nil"/>
      <w:lang w:val="es-ES_tradnl" w:eastAsia="es-PE"/>
    </w:rPr>
  </w:style>
  <w:style w:type="character" w:customStyle="1" w:styleId="PuestoCar">
    <w:name w:val="Puesto Car"/>
    <w:rsid w:val="0058764C"/>
    <w:rPr>
      <w:rFonts w:ascii="Cambria" w:eastAsia="Times New Roman" w:hAnsi="Cambria"/>
      <w:b/>
      <w:bCs/>
      <w:kern w:val="28"/>
      <w:sz w:val="32"/>
      <w:szCs w:val="32"/>
      <w:lang w:val="es-ES" w:eastAsia="es-ES"/>
    </w:rPr>
  </w:style>
  <w:style w:type="paragraph" w:styleId="Bibliografa">
    <w:name w:val="Bibliography"/>
    <w:basedOn w:val="Normal"/>
    <w:next w:val="Normal"/>
    <w:uiPriority w:val="37"/>
    <w:unhideWhenUsed/>
    <w:rsid w:val="0058764C"/>
    <w:rPr>
      <w:rFonts w:ascii="Garamond" w:eastAsia="Times New Roman" w:hAnsi="Garamond" w:cs="Times New Roman"/>
      <w:noProof w:val="0"/>
      <w:sz w:val="22"/>
      <w:szCs w:val="20"/>
      <w:lang w:val="es-PE"/>
    </w:rPr>
  </w:style>
  <w:style w:type="table" w:customStyle="1" w:styleId="TableNormal">
    <w:name w:val="Table Normal"/>
    <w:qFormat/>
    <w:rsid w:val="0058764C"/>
    <w:pPr>
      <w:spacing w:line="18pt" w:lineRule="auto"/>
      <w:ind w:firstLine="17.85pt"/>
    </w:pPr>
    <w:rPr>
      <w:rFonts w:ascii="Times New Roman" w:eastAsia="Times New Roman" w:hAnsi="Times New Roman" w:cs="Times New Roman"/>
      <w:sz w:val="22"/>
      <w:szCs w:val="22"/>
      <w:lang w:val="es-AR" w:eastAsia="es-ES"/>
    </w:rPr>
    <w:tblPr>
      <w:tblCellMar>
        <w:top w:w="0pt" w:type="dxa"/>
        <w:start w:w="0pt" w:type="dxa"/>
        <w:bottom w:w="0pt" w:type="dxa"/>
        <w:end w:w="0pt" w:type="dxa"/>
      </w:tblCellMar>
    </w:tblPr>
  </w:style>
  <w:style w:type="paragraph" w:customStyle="1" w:styleId="SUBTITULOSSS">
    <w:name w:val="SUBTITULOSSS"/>
    <w:basedOn w:val="Normal"/>
    <w:link w:val="SUBTITULOSSSCar"/>
    <w:qFormat/>
    <w:rsid w:val="0058764C"/>
    <w:pPr>
      <w:spacing w:line="18pt" w:lineRule="auto"/>
      <w:jc w:val="center"/>
      <w:outlineLvl w:val="2"/>
    </w:pPr>
    <w:rPr>
      <w:rFonts w:ascii="Times New Roman" w:eastAsia="Times New Roman" w:hAnsi="Times New Roman" w:cs="Times New Roman"/>
      <w:b/>
      <w:noProof w:val="0"/>
      <w:sz w:val="22"/>
      <w:szCs w:val="22"/>
      <w:lang w:eastAsia="es-ES"/>
    </w:rPr>
  </w:style>
  <w:style w:type="character" w:customStyle="1" w:styleId="SUBTITULOSSSCar">
    <w:name w:val="SUBTITULOSSS Car"/>
    <w:basedOn w:val="Fuentedeprrafopredeter"/>
    <w:link w:val="SUBTITULOSSS"/>
    <w:rsid w:val="0058764C"/>
    <w:rPr>
      <w:rFonts w:ascii="Times New Roman" w:eastAsia="Times New Roman" w:hAnsi="Times New Roman" w:cs="Times New Roman"/>
      <w:b/>
      <w:sz w:val="22"/>
      <w:szCs w:val="22"/>
      <w:lang w:val="es-ES" w:eastAsia="es-ES"/>
    </w:rPr>
  </w:style>
  <w:style w:type="character" w:customStyle="1" w:styleId="fontstyle01">
    <w:name w:val="fontstyle01"/>
    <w:basedOn w:val="Fuentedeprrafopredeter"/>
    <w:rsid w:val="0058764C"/>
    <w:rPr>
      <w:rFonts w:ascii="TimesNewRomanPSMT" w:hAnsi="TimesNewRomanPSMT" w:hint="default"/>
      <w:b w:val="0"/>
      <w:bCs w:val="0"/>
      <w:i w:val="0"/>
      <w:iCs w:val="0"/>
      <w:color w:val="000000"/>
      <w:sz w:val="20"/>
      <w:szCs w:val="20"/>
    </w:rPr>
  </w:style>
  <w:style w:type="character" w:customStyle="1" w:styleId="fontstyle21">
    <w:name w:val="fontstyle21"/>
    <w:basedOn w:val="Fuentedeprrafopredeter"/>
    <w:rsid w:val="0058764C"/>
    <w:rPr>
      <w:rFonts w:ascii="Times New Roman" w:hAnsi="Times New Roman" w:cs="Times New Roman" w:hint="default"/>
      <w:b w:val="0"/>
      <w:bCs w:val="0"/>
      <w:i/>
      <w:iCs/>
      <w:color w:val="000000"/>
      <w:sz w:val="24"/>
      <w:szCs w:val="24"/>
    </w:rPr>
  </w:style>
  <w:style w:type="character" w:customStyle="1" w:styleId="fontstyle31">
    <w:name w:val="fontstyle31"/>
    <w:basedOn w:val="Fuentedeprrafopredeter"/>
    <w:rsid w:val="0058764C"/>
    <w:rPr>
      <w:rFonts w:ascii="Times New Roman" w:hAnsi="Times New Roman" w:cs="Times New Roman" w:hint="default"/>
      <w:b w:val="0"/>
      <w:bCs w:val="0"/>
      <w:i/>
      <w:iCs/>
      <w:color w:val="000000"/>
      <w:sz w:val="24"/>
      <w:szCs w:val="24"/>
    </w:rPr>
  </w:style>
  <w:style w:type="paragraph" w:styleId="Textoindependiente3">
    <w:name w:val="Body Text 3"/>
    <w:basedOn w:val="Normal"/>
    <w:link w:val="Textoindependiente3Car"/>
    <w:rsid w:val="0058764C"/>
    <w:pPr>
      <w:spacing w:after="6pt"/>
    </w:pPr>
    <w:rPr>
      <w:rFonts w:ascii="Arial" w:eastAsia="Times New Roman" w:hAnsi="Arial" w:cs="Times New Roman"/>
      <w:bCs/>
      <w:noProof w:val="0"/>
      <w:sz w:val="16"/>
      <w:szCs w:val="16"/>
      <w:lang w:val="es-PE"/>
    </w:rPr>
  </w:style>
  <w:style w:type="character" w:customStyle="1" w:styleId="Textoindependiente3Car">
    <w:name w:val="Texto independiente 3 Car"/>
    <w:basedOn w:val="Fuentedeprrafopredeter"/>
    <w:link w:val="Textoindependiente3"/>
    <w:rsid w:val="0058764C"/>
    <w:rPr>
      <w:rFonts w:ascii="Arial" w:eastAsia="Times New Roman" w:hAnsi="Arial" w:cs="Times New Roman"/>
      <w:bCs/>
      <w:sz w:val="16"/>
      <w:szCs w:val="16"/>
    </w:rPr>
  </w:style>
  <w:style w:type="paragraph" w:customStyle="1" w:styleId="Els-Author">
    <w:name w:val="Els-Author"/>
    <w:next w:val="Normal"/>
    <w:rsid w:val="0058764C"/>
    <w:pPr>
      <w:keepNext/>
      <w:suppressAutoHyphens/>
      <w:spacing w:after="8pt" w:line="15pt" w:lineRule="exact"/>
      <w:jc w:val="center"/>
    </w:pPr>
    <w:rPr>
      <w:rFonts w:ascii="Times New Roman" w:eastAsia="Times New Roman" w:hAnsi="Times New Roman" w:cs="Times New Roman"/>
      <w:noProof/>
      <w:sz w:val="26"/>
      <w:szCs w:val="20"/>
      <w:lang w:val="en-US"/>
    </w:rPr>
  </w:style>
  <w:style w:type="paragraph" w:customStyle="1" w:styleId="Els-Abstract-head">
    <w:name w:val="Els-Abstract-head"/>
    <w:next w:val="Normal"/>
    <w:rsid w:val="0058764C"/>
    <w:pPr>
      <w:keepNext/>
      <w:pBdr>
        <w:top w:val="single" w:sz="4" w:space="10" w:color="auto"/>
      </w:pBdr>
      <w:suppressAutoHyphens/>
      <w:spacing w:after="11pt" w:line="11pt" w:lineRule="exact"/>
    </w:pPr>
    <w:rPr>
      <w:rFonts w:ascii="Times New Roman" w:eastAsia="Times New Roman" w:hAnsi="Times New Roman" w:cs="Times New Roman"/>
      <w:b/>
      <w:sz w:val="18"/>
      <w:szCs w:val="20"/>
      <w:lang w:val="en-US"/>
    </w:rPr>
  </w:style>
  <w:style w:type="paragraph" w:customStyle="1" w:styleId="Estilo4">
    <w:name w:val="Estilo4"/>
    <w:basedOn w:val="Apanivel3"/>
    <w:link w:val="Estilo4Car"/>
    <w:qFormat/>
    <w:rsid w:val="0058764C"/>
    <w:pPr>
      <w:numPr>
        <w:ilvl w:val="2"/>
        <w:numId w:val="3"/>
      </w:numPr>
      <w:spacing w:line="24pt" w:lineRule="auto"/>
    </w:pPr>
    <w:rPr>
      <w:b w:val="0"/>
    </w:rPr>
  </w:style>
  <w:style w:type="character" w:customStyle="1" w:styleId="Estilo4Car">
    <w:name w:val="Estilo4 Car"/>
    <w:basedOn w:val="Apanivel3Car"/>
    <w:link w:val="Estilo4"/>
    <w:rsid w:val="0058764C"/>
    <w:rPr>
      <w:rFonts w:ascii="Times New Roman" w:hAnsi="Times New Roman"/>
      <w:b w:val="0"/>
      <w:i/>
      <w:szCs w:val="22"/>
    </w:rPr>
  </w:style>
  <w:style w:type="character" w:customStyle="1" w:styleId="Ttulo2Car1">
    <w:name w:val="Título 2 Car1"/>
    <w:basedOn w:val="Fuentedeprrafopredeter"/>
    <w:uiPriority w:val="9"/>
    <w:semiHidden/>
    <w:rsid w:val="0058764C"/>
    <w:rPr>
      <w:rFonts w:asciiTheme="majorHAnsi" w:eastAsiaTheme="majorEastAsia" w:hAnsiTheme="majorHAnsi" w:cstheme="majorBidi"/>
      <w:noProof/>
      <w:color w:val="2F5496" w:themeColor="accent1" w:themeShade="BF"/>
      <w:sz w:val="26"/>
      <w:szCs w:val="26"/>
      <w:lang w:val="es-ES"/>
    </w:rPr>
  </w:style>
  <w:style w:type="character" w:customStyle="1" w:styleId="Ttulo3Car1">
    <w:name w:val="Título 3 Car1"/>
    <w:basedOn w:val="Fuentedeprrafopredeter"/>
    <w:uiPriority w:val="9"/>
    <w:semiHidden/>
    <w:rsid w:val="0058764C"/>
    <w:rPr>
      <w:rFonts w:asciiTheme="majorHAnsi" w:eastAsiaTheme="majorEastAsia" w:hAnsiTheme="majorHAnsi" w:cstheme="majorBidi"/>
      <w:noProof/>
      <w:color w:val="1F3763" w:themeColor="accent1" w:themeShade="7F"/>
      <w:lang w:val="es-ES"/>
    </w:rPr>
  </w:style>
  <w:style w:type="character" w:styleId="Hipervnculovisitado">
    <w:name w:val="FollowedHyperlink"/>
    <w:basedOn w:val="Fuentedeprrafopredeter"/>
    <w:uiPriority w:val="99"/>
    <w:semiHidden/>
    <w:unhideWhenUsed/>
    <w:rsid w:val="0058764C"/>
    <w:rPr>
      <w:color w:val="954F72" w:themeColor="followedHyperlink"/>
      <w:u w:val="single"/>
    </w:rPr>
  </w:style>
  <w:style w:type="character" w:customStyle="1" w:styleId="Ttulo1Car1">
    <w:name w:val="Título 1 Car1"/>
    <w:basedOn w:val="Fuentedeprrafopredeter"/>
    <w:uiPriority w:val="9"/>
    <w:rsid w:val="0058764C"/>
    <w:rPr>
      <w:rFonts w:asciiTheme="majorHAnsi" w:eastAsiaTheme="majorEastAsia" w:hAnsiTheme="majorHAnsi" w:cstheme="majorBidi"/>
      <w:noProof/>
      <w:color w:val="2F5496" w:themeColor="accent1" w:themeShade="BF"/>
      <w:sz w:val="32"/>
      <w:szCs w:val="32"/>
      <w:lang w:val="es-ES"/>
    </w:rPr>
  </w:style>
  <w:style w:type="paragraph" w:styleId="Descripcin">
    <w:name w:val="caption"/>
    <w:basedOn w:val="Normal"/>
    <w:next w:val="Normal"/>
    <w:uiPriority w:val="35"/>
    <w:unhideWhenUsed/>
    <w:qFormat/>
    <w:rsid w:val="0058764C"/>
    <w:pPr>
      <w:spacing w:after="10pt"/>
    </w:pPr>
    <w:rPr>
      <w:i/>
      <w:iCs/>
      <w:color w:val="44546A" w:themeColor="text2"/>
      <w:sz w:val="18"/>
      <w:szCs w:val="18"/>
    </w:rPr>
  </w:style>
  <w:style w:type="numbering" w:customStyle="1" w:styleId="Sinlista2">
    <w:name w:val="Sin lista2"/>
    <w:next w:val="Sinlista"/>
    <w:uiPriority w:val="99"/>
    <w:semiHidden/>
    <w:unhideWhenUsed/>
    <w:rsid w:val="005B6F47"/>
  </w:style>
  <w:style w:type="paragraph" w:customStyle="1" w:styleId="APATITPREL">
    <w:name w:val="APA_TITPREL"/>
    <w:basedOn w:val="Normal"/>
    <w:qFormat/>
    <w:rsid w:val="005B6F47"/>
    <w:pPr>
      <w:spacing w:afterLines="300" w:after="15pt"/>
      <w:ind w:start="9.05pt"/>
      <w:jc w:val="center"/>
      <w:outlineLvl w:val="0"/>
    </w:pPr>
    <w:rPr>
      <w:rFonts w:ascii="Arial" w:eastAsia="Arial" w:hAnsi="Arial" w:cs="Times New Roman"/>
      <w:b/>
      <w:noProof w:val="0"/>
      <w:lang w:val="es-PE"/>
    </w:rPr>
  </w:style>
  <w:style w:type="paragraph" w:customStyle="1" w:styleId="AParrafos">
    <w:name w:val="A_Parrafos"/>
    <w:basedOn w:val="Normal"/>
    <w:link w:val="AParrafosCar"/>
    <w:qFormat/>
    <w:rsid w:val="005B6F47"/>
    <w:pPr>
      <w:spacing w:after="2pt" w:line="24pt" w:lineRule="auto"/>
      <w:ind w:firstLine="36pt"/>
    </w:pPr>
    <w:rPr>
      <w:rFonts w:ascii="Arial" w:hAnsi="Arial" w:cs="Arial"/>
      <w:noProof w:val="0"/>
      <w:lang w:val="es-PE"/>
    </w:rPr>
  </w:style>
  <w:style w:type="character" w:customStyle="1" w:styleId="AParrafosCar">
    <w:name w:val="A_Parrafos Car"/>
    <w:basedOn w:val="Fuentedeprrafopredeter"/>
    <w:link w:val="AParrafos"/>
    <w:rsid w:val="005B6F47"/>
    <w:rPr>
      <w:rFonts w:ascii="Arial" w:hAnsi="Arial" w:cs="Arial"/>
    </w:rPr>
  </w:style>
  <w:style w:type="paragraph" w:customStyle="1" w:styleId="Els-1storder-head">
    <w:name w:val="Els-1storder-head"/>
    <w:next w:val="Els-body-text"/>
    <w:link w:val="Els-1storder-headChar"/>
    <w:rsid w:val="005B6F47"/>
    <w:pPr>
      <w:keepNext/>
      <w:numPr>
        <w:numId w:val="4"/>
      </w:numPr>
      <w:suppressAutoHyphens/>
      <w:spacing w:before="12pt" w:after="12pt" w:line="12pt" w:lineRule="exact"/>
    </w:pPr>
    <w:rPr>
      <w:rFonts w:ascii="Times New Roman" w:eastAsia="Times New Roman" w:hAnsi="Times New Roman" w:cs="Times New Roman"/>
      <w:b/>
      <w:sz w:val="20"/>
      <w:szCs w:val="20"/>
      <w:lang w:val="en-US"/>
    </w:rPr>
  </w:style>
  <w:style w:type="paragraph" w:customStyle="1" w:styleId="Els-2ndorder-head">
    <w:name w:val="Els-2ndorder-head"/>
    <w:next w:val="Els-body-text"/>
    <w:rsid w:val="005B6F47"/>
    <w:pPr>
      <w:keepNext/>
      <w:numPr>
        <w:ilvl w:val="1"/>
        <w:numId w:val="4"/>
      </w:numPr>
      <w:suppressAutoHyphens/>
      <w:spacing w:before="12pt" w:after="12pt" w:line="12pt" w:lineRule="exact"/>
    </w:pPr>
    <w:rPr>
      <w:rFonts w:ascii="Times New Roman" w:eastAsia="Times New Roman" w:hAnsi="Times New Roman" w:cs="Times New Roman"/>
      <w:i/>
      <w:sz w:val="20"/>
      <w:szCs w:val="20"/>
      <w:lang w:val="en-US"/>
    </w:rPr>
  </w:style>
  <w:style w:type="paragraph" w:customStyle="1" w:styleId="Els-3rdorder-head">
    <w:name w:val="Els-3rdorder-head"/>
    <w:next w:val="Els-body-text"/>
    <w:rsid w:val="005B6F47"/>
    <w:pPr>
      <w:keepNext/>
      <w:numPr>
        <w:ilvl w:val="2"/>
        <w:numId w:val="4"/>
      </w:numPr>
      <w:suppressAutoHyphens/>
      <w:spacing w:before="12pt" w:line="12pt" w:lineRule="exact"/>
    </w:pPr>
    <w:rPr>
      <w:rFonts w:ascii="Times New Roman" w:eastAsia="Times New Roman" w:hAnsi="Times New Roman" w:cs="Times New Roman"/>
      <w:i/>
      <w:sz w:val="20"/>
      <w:szCs w:val="20"/>
      <w:lang w:val="en-US"/>
    </w:rPr>
  </w:style>
  <w:style w:type="paragraph" w:customStyle="1" w:styleId="Els-4thorder-head">
    <w:name w:val="Els-4thorder-head"/>
    <w:next w:val="Els-body-text"/>
    <w:rsid w:val="005B6F47"/>
    <w:pPr>
      <w:keepNext/>
      <w:numPr>
        <w:ilvl w:val="3"/>
        <w:numId w:val="4"/>
      </w:numPr>
      <w:suppressAutoHyphens/>
      <w:spacing w:before="12pt" w:line="12pt" w:lineRule="exact"/>
    </w:pPr>
    <w:rPr>
      <w:rFonts w:ascii="Times New Roman" w:eastAsia="Times New Roman" w:hAnsi="Times New Roman" w:cs="Times New Roman"/>
      <w:i/>
      <w:sz w:val="20"/>
      <w:szCs w:val="20"/>
      <w:lang w:val="en-US"/>
    </w:rPr>
  </w:style>
  <w:style w:type="paragraph" w:customStyle="1" w:styleId="Els-Affiliation">
    <w:name w:val="Els-Affiliation"/>
    <w:next w:val="Normal"/>
    <w:rsid w:val="005B6F47"/>
    <w:pPr>
      <w:suppressAutoHyphens/>
      <w:spacing w:line="10pt" w:lineRule="exact"/>
      <w:jc w:val="center"/>
    </w:pPr>
    <w:rPr>
      <w:rFonts w:ascii="Times New Roman" w:eastAsia="Times New Roman" w:hAnsi="Times New Roman" w:cs="Times New Roman"/>
      <w:i/>
      <w:noProof/>
      <w:sz w:val="16"/>
      <w:szCs w:val="20"/>
      <w:lang w:val="en-US"/>
    </w:rPr>
  </w:style>
  <w:style w:type="character" w:customStyle="1" w:styleId="Els-1storder-headChar">
    <w:name w:val="Els-1storder-head Char"/>
    <w:basedOn w:val="Fuentedeprrafopredeter"/>
    <w:link w:val="Els-1storder-head"/>
    <w:rsid w:val="005B6F47"/>
    <w:rPr>
      <w:rFonts w:ascii="Times New Roman" w:eastAsia="Times New Roman" w:hAnsi="Times New Roman" w:cs="Times New Roman"/>
      <w:b/>
      <w:sz w:val="20"/>
      <w:szCs w:val="20"/>
      <w:lang w:val="en-US"/>
    </w:rPr>
  </w:style>
  <w:style w:type="paragraph" w:customStyle="1" w:styleId="Tabla1">
    <w:name w:val="Tabla 1"/>
    <w:basedOn w:val="Normal"/>
    <w:link w:val="Tabla1Car"/>
    <w:qFormat/>
    <w:rsid w:val="0060026C"/>
    <w:pPr>
      <w:spacing w:after="8pt" w:line="12.95pt" w:lineRule="auto"/>
    </w:pPr>
    <w:rPr>
      <w:rFonts w:ascii="Arial" w:eastAsia="Calibri" w:hAnsi="Arial" w:cs="Arial"/>
      <w:noProof w:val="0"/>
      <w:szCs w:val="22"/>
      <w:lang w:val="es-PE" w:eastAsia="es-PE"/>
    </w:rPr>
  </w:style>
  <w:style w:type="character" w:customStyle="1" w:styleId="Tabla1Car">
    <w:name w:val="Tabla 1 Car"/>
    <w:basedOn w:val="Fuentedeprrafopredeter"/>
    <w:link w:val="Tabla1"/>
    <w:rsid w:val="0060026C"/>
    <w:rPr>
      <w:rFonts w:ascii="Arial" w:eastAsia="Calibri" w:hAnsi="Arial" w:cs="Arial"/>
      <w:szCs w:val="22"/>
      <w:lang w:eastAsia="es-PE"/>
    </w:rPr>
  </w:style>
  <w:style w:type="paragraph" w:customStyle="1" w:styleId="aaaaaaaaa">
    <w:name w:val="aaaaaaaaa"/>
    <w:basedOn w:val="Normal"/>
    <w:link w:val="aaaaaaaaaCar"/>
    <w:qFormat/>
    <w:rsid w:val="0060026C"/>
    <w:pPr>
      <w:spacing w:line="24pt" w:lineRule="auto"/>
      <w:ind w:firstLine="36pt"/>
    </w:pPr>
    <w:rPr>
      <w:rFonts w:ascii="Times New Roman" w:eastAsia="Calibri" w:hAnsi="Times New Roman" w:cs="Times New Roman"/>
      <w:noProof w:val="0"/>
      <w:lang w:val="es-PE" w:eastAsia="es-PE"/>
    </w:rPr>
  </w:style>
  <w:style w:type="character" w:customStyle="1" w:styleId="aaaaaaaaaCar">
    <w:name w:val="aaaaaaaaa Car"/>
    <w:basedOn w:val="Fuentedeprrafopredeter"/>
    <w:link w:val="aaaaaaaaa"/>
    <w:rsid w:val="0060026C"/>
    <w:rPr>
      <w:rFonts w:ascii="Times New Roman" w:eastAsia="Calibri" w:hAnsi="Times New Roman" w:cs="Times New Roman"/>
      <w:lang w:eastAsia="es-PE"/>
    </w:rPr>
  </w:style>
  <w:style w:type="table" w:customStyle="1" w:styleId="Tablaconcuadrcula1">
    <w:name w:val="Tabla con cuadrícula1"/>
    <w:basedOn w:val="Tablanormal"/>
    <w:next w:val="Tablaconcuadrcula"/>
    <w:uiPriority w:val="39"/>
    <w:rsid w:val="00F35937"/>
    <w:rPr>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NIVEL1">
    <w:name w:val="NIVEL 1"/>
    <w:basedOn w:val="Ttulo1"/>
    <w:qFormat/>
    <w:rsid w:val="001E6082"/>
    <w:pPr>
      <w:keepNext w:val="0"/>
      <w:keepLines w:val="0"/>
      <w:spacing w:before="0pt" w:line="18pt" w:lineRule="auto"/>
      <w:contextualSpacing/>
      <w:jc w:val="center"/>
    </w:pPr>
    <w:rPr>
      <w:rFonts w:ascii="Arial" w:eastAsia="Arial" w:hAnsi="Arial" w:cs="Arial"/>
      <w:szCs w:val="22"/>
      <w:lang w:val="es-PE"/>
    </w:rPr>
  </w:style>
  <w:style w:type="character" w:customStyle="1" w:styleId="PARRAFOCar">
    <w:name w:val="PARRAFO Car"/>
    <w:link w:val="PARRAFO"/>
    <w:rsid w:val="00DF2BFA"/>
    <w:rPr>
      <w:rFonts w:ascii="Arial" w:eastAsia="Calibri" w:hAnsi="Arial"/>
    </w:rPr>
  </w:style>
  <w:style w:type="paragraph" w:customStyle="1" w:styleId="PARRAFO">
    <w:name w:val="PARRAFO"/>
    <w:basedOn w:val="Normal"/>
    <w:link w:val="PARRAFOCar"/>
    <w:qFormat/>
    <w:rsid w:val="00DF2BFA"/>
    <w:pPr>
      <w:spacing w:line="18pt" w:lineRule="auto"/>
      <w:ind w:firstLine="36pt"/>
      <w:jc w:val="both"/>
    </w:pPr>
    <w:rPr>
      <w:rFonts w:ascii="Arial" w:eastAsia="Calibri" w:hAnsi="Arial"/>
      <w:noProof w:val="0"/>
      <w:lang w:val="es-PE"/>
    </w:rPr>
  </w:style>
  <w:style w:type="paragraph" w:styleId="TtuloTDC">
    <w:name w:val="TOC Heading"/>
    <w:basedOn w:val="Ttulo1"/>
    <w:next w:val="Normal"/>
    <w:uiPriority w:val="39"/>
    <w:unhideWhenUsed/>
    <w:qFormat/>
    <w:rsid w:val="00DF2BFA"/>
    <w:pPr>
      <w:spacing w:line="12.95pt" w:lineRule="auto"/>
      <w:jc w:val="center"/>
      <w:outlineLvl w:val="9"/>
    </w:pPr>
    <w:rPr>
      <w:rFonts w:asciiTheme="majorHAnsi" w:eastAsiaTheme="majorEastAsia" w:hAnsiTheme="majorHAnsi" w:cstheme="majorBidi"/>
      <w:b w:val="0"/>
      <w:color w:val="2F5496" w:themeColor="accent1" w:themeShade="BF"/>
      <w:sz w:val="32"/>
      <w:lang w:val="es-PE" w:eastAsia="es-PE"/>
    </w:rPr>
  </w:style>
  <w:style w:type="paragraph" w:styleId="TDC6">
    <w:name w:val="toc 6"/>
    <w:basedOn w:val="Normal"/>
    <w:next w:val="Normal"/>
    <w:autoRedefine/>
    <w:uiPriority w:val="39"/>
    <w:unhideWhenUsed/>
    <w:rsid w:val="00DF2BFA"/>
    <w:pPr>
      <w:tabs>
        <w:tab w:val="start" w:pos="99.25pt"/>
        <w:tab w:val="end" w:leader="dot" w:pos="438.85pt"/>
      </w:tabs>
      <w:spacing w:line="18pt" w:lineRule="auto"/>
    </w:pPr>
    <w:rPr>
      <w:rFonts w:ascii="Arial" w:eastAsia="Calibri" w:hAnsi="Arial" w:cs="Arial"/>
      <w:sz w:val="22"/>
      <w:szCs w:val="22"/>
      <w:lang w:val="es-PE"/>
    </w:rPr>
  </w:style>
  <w:style w:type="paragraph" w:styleId="TDC7">
    <w:name w:val="toc 7"/>
    <w:basedOn w:val="Normal"/>
    <w:next w:val="Normal"/>
    <w:autoRedefine/>
    <w:uiPriority w:val="39"/>
    <w:unhideWhenUsed/>
    <w:rsid w:val="00DF2BFA"/>
    <w:pPr>
      <w:tabs>
        <w:tab w:val="start" w:pos="99.25pt"/>
        <w:tab w:val="end" w:leader="dot" w:pos="438.85pt"/>
      </w:tabs>
      <w:spacing w:line="18pt" w:lineRule="auto"/>
    </w:pPr>
    <w:rPr>
      <w:rFonts w:ascii="Arial" w:hAnsi="Arial" w:cs="Arial"/>
      <w:sz w:val="22"/>
      <w:szCs w:val="22"/>
      <w:lang w:val="es-PE"/>
    </w:rPr>
  </w:style>
  <w:style w:type="paragraph" w:styleId="TDC8">
    <w:name w:val="toc 8"/>
    <w:basedOn w:val="Normal"/>
    <w:next w:val="Normal"/>
    <w:autoRedefine/>
    <w:uiPriority w:val="39"/>
    <w:unhideWhenUsed/>
    <w:rsid w:val="00DF2BFA"/>
    <w:pPr>
      <w:spacing w:line="18pt" w:lineRule="auto"/>
      <w:ind w:start="84pt" w:firstLine="36pt"/>
    </w:pPr>
    <w:rPr>
      <w:noProof w:val="0"/>
      <w:sz w:val="18"/>
      <w:szCs w:val="18"/>
      <w:lang w:val="es-PE"/>
    </w:rPr>
  </w:style>
  <w:style w:type="paragraph" w:styleId="TDC9">
    <w:name w:val="toc 9"/>
    <w:basedOn w:val="Normal"/>
    <w:next w:val="Normal"/>
    <w:autoRedefine/>
    <w:uiPriority w:val="39"/>
    <w:unhideWhenUsed/>
    <w:rsid w:val="00DF2BFA"/>
    <w:pPr>
      <w:spacing w:line="18pt" w:lineRule="auto"/>
      <w:ind w:start="96pt" w:firstLine="36pt"/>
    </w:pPr>
    <w:rPr>
      <w:noProof w:val="0"/>
      <w:sz w:val="18"/>
      <w:szCs w:val="18"/>
      <w:lang w:val="es-PE"/>
    </w:rPr>
  </w:style>
  <w:style w:type="paragraph" w:customStyle="1" w:styleId="TableParagraph">
    <w:name w:val="Table Paragraph"/>
    <w:basedOn w:val="Normal"/>
    <w:uiPriority w:val="1"/>
    <w:qFormat/>
    <w:rsid w:val="00DF2BFA"/>
    <w:pPr>
      <w:widowControl w:val="0"/>
      <w:autoSpaceDE w:val="0"/>
      <w:autoSpaceDN w:val="0"/>
      <w:spacing w:line="18pt" w:lineRule="auto"/>
      <w:jc w:val="both"/>
    </w:pPr>
    <w:rPr>
      <w:rFonts w:ascii="Arial MT" w:eastAsia="Arial MT" w:hAnsi="Arial MT" w:cs="Arial MT"/>
      <w:noProof w:val="0"/>
      <w:szCs w:val="22"/>
    </w:rPr>
  </w:style>
  <w:style w:type="paragraph" w:customStyle="1" w:styleId="fig1">
    <w:name w:val="fig1"/>
    <w:basedOn w:val="Normal"/>
    <w:link w:val="fig1Car"/>
    <w:qFormat/>
    <w:rsid w:val="00DF2BFA"/>
    <w:pPr>
      <w:spacing w:line="18pt" w:lineRule="auto"/>
      <w:jc w:val="both"/>
    </w:pPr>
    <w:rPr>
      <w:rFonts w:ascii="Arial" w:eastAsia="Arial" w:hAnsi="Arial" w:cs="Arial"/>
      <w:b/>
      <w:bCs/>
      <w:noProof w:val="0"/>
    </w:rPr>
  </w:style>
  <w:style w:type="paragraph" w:customStyle="1" w:styleId="fig2">
    <w:name w:val="fig 2"/>
    <w:basedOn w:val="Normal"/>
    <w:link w:val="fig2Car"/>
    <w:qFormat/>
    <w:rsid w:val="00DF2BFA"/>
    <w:pPr>
      <w:spacing w:line="18pt" w:lineRule="auto"/>
      <w:jc w:val="both"/>
    </w:pPr>
    <w:rPr>
      <w:rFonts w:ascii="Arial" w:eastAsia="Arial" w:hAnsi="Arial" w:cs="Arial"/>
      <w:b/>
      <w:bCs/>
      <w:noProof w:val="0"/>
    </w:rPr>
  </w:style>
  <w:style w:type="character" w:customStyle="1" w:styleId="fig1Car">
    <w:name w:val="fig1 Car"/>
    <w:basedOn w:val="Fuentedeprrafopredeter"/>
    <w:link w:val="fig1"/>
    <w:rsid w:val="00DF2BFA"/>
    <w:rPr>
      <w:rFonts w:ascii="Arial" w:eastAsia="Arial" w:hAnsi="Arial" w:cs="Arial"/>
      <w:b/>
      <w:bCs/>
      <w:lang w:val="es-ES"/>
    </w:rPr>
  </w:style>
  <w:style w:type="character" w:customStyle="1" w:styleId="fig2Car">
    <w:name w:val="fig 2 Car"/>
    <w:basedOn w:val="Fuentedeprrafopredeter"/>
    <w:link w:val="fig2"/>
    <w:rsid w:val="00DF2BFA"/>
    <w:rPr>
      <w:rFonts w:ascii="Arial" w:eastAsia="Arial" w:hAnsi="Arial" w:cs="Arial"/>
      <w:b/>
      <w:bCs/>
      <w:lang w:val="es-ES"/>
    </w:rPr>
  </w:style>
  <w:style w:type="paragraph" w:styleId="Mapadeldocumento">
    <w:name w:val="Document Map"/>
    <w:basedOn w:val="Normal"/>
    <w:link w:val="MapadeldocumentoCar"/>
    <w:semiHidden/>
    <w:rsid w:val="00DF2BFA"/>
    <w:pPr>
      <w:shd w:val="clear" w:color="auto" w:fill="000080"/>
    </w:pPr>
    <w:rPr>
      <w:rFonts w:ascii="Tahoma" w:eastAsia="Times New Roman" w:hAnsi="Tahoma" w:cs="Tahoma"/>
      <w:noProof w:val="0"/>
      <w:sz w:val="20"/>
      <w:szCs w:val="20"/>
      <w:lang w:eastAsia="es-ES"/>
    </w:rPr>
  </w:style>
  <w:style w:type="character" w:customStyle="1" w:styleId="MapadeldocumentoCar">
    <w:name w:val="Mapa del documento Car"/>
    <w:basedOn w:val="Fuentedeprrafopredeter"/>
    <w:link w:val="Mapadeldocumento"/>
    <w:semiHidden/>
    <w:rsid w:val="00DF2BFA"/>
    <w:rPr>
      <w:rFonts w:ascii="Tahoma" w:eastAsia="Times New Roman" w:hAnsi="Tahoma" w:cs="Tahoma"/>
      <w:sz w:val="20"/>
      <w:szCs w:val="20"/>
      <w:shd w:val="clear" w:color="auto" w:fill="000080"/>
      <w:lang w:val="es-ES" w:eastAsia="es-ES"/>
    </w:rPr>
  </w:style>
  <w:style w:type="table" w:styleId="Tablabsica1">
    <w:name w:val="Table Simple 1"/>
    <w:basedOn w:val="Tablanormal"/>
    <w:rsid w:val="00DF2BFA"/>
    <w:rPr>
      <w:rFonts w:ascii="Times New Roman" w:eastAsia="Times New Roman" w:hAnsi="Times New Roman" w:cs="Times New Roman"/>
      <w:lang w:val="es-ES" w:eastAsia="es-PE"/>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i">
    <w:name w:val="ti"/>
    <w:basedOn w:val="Fuentedeprrafopredeter"/>
    <w:rsid w:val="00DF2BFA"/>
  </w:style>
  <w:style w:type="character" w:customStyle="1" w:styleId="s1">
    <w:name w:val="s1"/>
    <w:rsid w:val="00DF2BFA"/>
    <w:rPr>
      <w:rFonts w:ascii="Arial" w:hAnsi="Arial" w:cs="Arial" w:hint="default"/>
      <w:color w:val="000000"/>
      <w:sz w:val="23"/>
      <w:szCs w:val="23"/>
      <w:shd w:val="clear" w:color="auto" w:fill="F3F9EF"/>
    </w:rPr>
  </w:style>
  <w:style w:type="paragraph" w:customStyle="1" w:styleId="Pa15">
    <w:name w:val="Pa15"/>
    <w:basedOn w:val="Normal"/>
    <w:next w:val="Normal"/>
    <w:uiPriority w:val="99"/>
    <w:rsid w:val="00DF2BFA"/>
    <w:pPr>
      <w:autoSpaceDE w:val="0"/>
      <w:autoSpaceDN w:val="0"/>
      <w:adjustRightInd w:val="0"/>
      <w:spacing w:line="9.05pt" w:lineRule="atLeast"/>
    </w:pPr>
    <w:rPr>
      <w:rFonts w:ascii="Helvetica" w:eastAsia="Calibri" w:hAnsi="Helvetica" w:cs="Helvetica"/>
      <w:noProof w:val="0"/>
      <w:lang w:val="es-PE"/>
    </w:rPr>
  </w:style>
  <w:style w:type="table" w:customStyle="1" w:styleId="Estilo1">
    <w:name w:val="Estilo1"/>
    <w:basedOn w:val="Tablanormal"/>
    <w:rsid w:val="00DF2BFA"/>
    <w:rPr>
      <w:rFonts w:ascii="Times New Roman" w:eastAsia="Times New Roman" w:hAnsi="Times New Roman" w:cs="Times New Roman"/>
      <w:lang w:val="es-ES" w:eastAsia="es-PE"/>
    </w:rPr>
    <w:tblPr/>
  </w:style>
  <w:style w:type="paragraph" w:customStyle="1" w:styleId="00textoconentrada">
    <w:name w:val="00. texto con entrada"/>
    <w:basedOn w:val="00textosinentrada"/>
    <w:next w:val="00textosinentrada"/>
    <w:autoRedefine/>
    <w:qFormat/>
    <w:rsid w:val="00DF2BFA"/>
  </w:style>
  <w:style w:type="paragraph" w:customStyle="1" w:styleId="00textosinentrada">
    <w:name w:val="00. texto sin entrada"/>
    <w:next w:val="00textoconentrada"/>
    <w:autoRedefine/>
    <w:qFormat/>
    <w:rsid w:val="00DF2BFA"/>
    <w:pPr>
      <w:widowControl w:val="0"/>
      <w:spacing w:after="3pt" w:line="12pt" w:lineRule="exact"/>
      <w:jc w:val="center"/>
    </w:pPr>
    <w:rPr>
      <w:rFonts w:ascii="Times New Roman" w:eastAsia="MS Mincho" w:hAnsi="Times New Roman" w:cs="Times New Roman"/>
      <w:color w:val="393A6B"/>
      <w:lang w:val="pt-BR" w:eastAsia="ja-JP"/>
    </w:rPr>
  </w:style>
  <w:style w:type="paragraph" w:customStyle="1" w:styleId="07listanumerada">
    <w:name w:val="07. lista numerada"/>
    <w:basedOn w:val="Normal"/>
    <w:qFormat/>
    <w:rsid w:val="00DF2BFA"/>
    <w:pPr>
      <w:widowControl w:val="0"/>
      <w:numPr>
        <w:numId w:val="34"/>
      </w:numPr>
      <w:spacing w:line="12pt" w:lineRule="exact"/>
      <w:ind w:start="45.35pt" w:hanging="17pt"/>
      <w:jc w:val="both"/>
    </w:pPr>
    <w:rPr>
      <w:rFonts w:ascii="Times New Roman" w:eastAsia="MS Mincho" w:hAnsi="Times New Roman" w:cs="Times New Roman"/>
      <w:noProof w:val="0"/>
      <w:sz w:val="20"/>
      <w:szCs w:val="20"/>
      <w:lang w:val="pt-BR" w:eastAsia="ja-JP"/>
    </w:rPr>
  </w:style>
  <w:style w:type="paragraph" w:customStyle="1" w:styleId="03tablaleyenda">
    <w:name w:val="03. tabla_leyenda"/>
    <w:basedOn w:val="Normal"/>
    <w:autoRedefine/>
    <w:qFormat/>
    <w:rsid w:val="00DF2BFA"/>
    <w:pPr>
      <w:ind w:end="0.05pt"/>
      <w:jc w:val="both"/>
    </w:pPr>
    <w:rPr>
      <w:rFonts w:ascii="Century Gothic" w:eastAsia="MS Mincho" w:hAnsi="Century Gothic" w:cs="Times New Roman"/>
      <w:noProof w:val="0"/>
      <w:sz w:val="14"/>
      <w:szCs w:val="14"/>
      <w:lang w:val="es-ES_tradnl" w:eastAsia="ja-JP"/>
    </w:rPr>
  </w:style>
  <w:style w:type="paragraph" w:customStyle="1" w:styleId="00subttulo">
    <w:name w:val="00. subtítulo"/>
    <w:autoRedefine/>
    <w:qFormat/>
    <w:rsid w:val="00DF2BFA"/>
    <w:pPr>
      <w:spacing w:before="15pt" w:after="3pt" w:line="12pt" w:lineRule="exact"/>
    </w:pPr>
    <w:rPr>
      <w:rFonts w:ascii="Arial" w:eastAsia="MS Mincho" w:hAnsi="Arial" w:cs="Arial"/>
      <w:b/>
      <w:sz w:val="18"/>
      <w:szCs w:val="18"/>
      <w:lang w:val="pt-BR" w:eastAsia="ja-JP"/>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ivs>
    <w:div w:id="782269792">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127969832">
          <w:marLeft w:val="0pt"/>
          <w:marRight w:val="0pt"/>
          <w:marTop w:val="0pt"/>
          <w:marBottom w:val="0pt"/>
          <w:divBdr>
            <w:top w:val="none" w:sz="0" w:space="0" w:color="auto"/>
            <w:left w:val="none" w:sz="0" w:space="0" w:color="auto"/>
            <w:bottom w:val="none" w:sz="0" w:space="0" w:color="auto"/>
            <w:right w:val="none" w:sz="0" w:space="0" w:color="auto"/>
          </w:divBdr>
          <w:divsChild>
            <w:div w:id="1724061013">
              <w:marLeft w:val="0pt"/>
              <w:marRight w:val="0pt"/>
              <w:marTop w:val="0pt"/>
              <w:marBottom w:val="0pt"/>
              <w:divBdr>
                <w:top w:val="none" w:sz="0" w:space="0" w:color="auto"/>
                <w:left w:val="none" w:sz="0" w:space="0" w:color="auto"/>
                <w:bottom w:val="none" w:sz="0" w:space="0" w:color="auto"/>
                <w:right w:val="none" w:sz="0" w:space="0" w:color="auto"/>
              </w:divBdr>
              <w:divsChild>
                <w:div w:id="944076150">
                  <w:marLeft w:val="0pt"/>
                  <w:marRight w:val="0pt"/>
                  <w:marTop w:val="0pt"/>
                  <w:marBottom w:val="0pt"/>
                  <w:divBdr>
                    <w:top w:val="none" w:sz="0" w:space="0" w:color="auto"/>
                    <w:left w:val="none" w:sz="0" w:space="0" w:color="auto"/>
                    <w:bottom w:val="none" w:sz="0" w:space="0" w:color="auto"/>
                    <w:right w:val="none" w:sz="0" w:space="0" w:color="auto"/>
                  </w:divBdr>
                  <w:divsChild>
                    <w:div w:id="6114924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 w:id="834226465">
      <w:bodyDiv w:val="1"/>
      <w:marLeft w:val="0pt"/>
      <w:marRight w:val="0pt"/>
      <w:marTop w:val="0pt"/>
      <w:marBottom w:val="0pt"/>
      <w:divBdr>
        <w:top w:val="none" w:sz="0" w:space="0" w:color="auto"/>
        <w:left w:val="none" w:sz="0" w:space="0" w:color="auto"/>
        <w:bottom w:val="none" w:sz="0" w:space="0" w:color="auto"/>
        <w:right w:val="none" w:sz="0" w:space="0" w:color="auto"/>
      </w:divBdr>
    </w:div>
    <w:div w:id="1170829871">
      <w:bodyDiv w:val="1"/>
      <w:marLeft w:val="0pt"/>
      <w:marRight w:val="0pt"/>
      <w:marTop w:val="0pt"/>
      <w:marBottom w:val="0pt"/>
      <w:divBdr>
        <w:top w:val="none" w:sz="0" w:space="0" w:color="auto"/>
        <w:left w:val="none" w:sz="0" w:space="0" w:color="auto"/>
        <w:bottom w:val="none" w:sz="0" w:space="0" w:color="auto"/>
        <w:right w:val="none" w:sz="0" w:space="0" w:color="auto"/>
      </w:divBdr>
    </w:div>
    <w:div w:id="137843675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350254245">
          <w:marLeft w:val="0pt"/>
          <w:marRight w:val="0pt"/>
          <w:marTop w:val="0pt"/>
          <w:marBottom w:val="0pt"/>
          <w:divBdr>
            <w:top w:val="none" w:sz="0" w:space="0" w:color="auto"/>
            <w:left w:val="none" w:sz="0" w:space="0" w:color="auto"/>
            <w:bottom w:val="none" w:sz="0" w:space="0" w:color="auto"/>
            <w:right w:val="none" w:sz="0" w:space="0" w:color="auto"/>
          </w:divBdr>
          <w:divsChild>
            <w:div w:id="868571311">
              <w:marLeft w:val="0pt"/>
              <w:marRight w:val="0pt"/>
              <w:marTop w:val="0pt"/>
              <w:marBottom w:val="0pt"/>
              <w:divBdr>
                <w:top w:val="none" w:sz="0" w:space="0" w:color="auto"/>
                <w:left w:val="none" w:sz="0" w:space="0" w:color="auto"/>
                <w:bottom w:val="none" w:sz="0" w:space="0" w:color="auto"/>
                <w:right w:val="none" w:sz="0" w:space="0" w:color="auto"/>
              </w:divBdr>
              <w:divsChild>
                <w:div w:id="1258057747">
                  <w:marLeft w:val="0pt"/>
                  <w:marRight w:val="0pt"/>
                  <w:marTop w:val="0pt"/>
                  <w:marBottom w:val="0pt"/>
                  <w:divBdr>
                    <w:top w:val="none" w:sz="0" w:space="0" w:color="auto"/>
                    <w:left w:val="none" w:sz="0" w:space="0" w:color="auto"/>
                    <w:bottom w:val="none" w:sz="0" w:space="0" w:color="auto"/>
                    <w:right w:val="none" w:sz="0" w:space="0" w:color="auto"/>
                  </w:divBdr>
                  <w:divsChild>
                    <w:div w:id="31680536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 w:id="142831238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875387760">
          <w:marLeft w:val="0pt"/>
          <w:marRight w:val="0pt"/>
          <w:marTop w:val="0pt"/>
          <w:marBottom w:val="0pt"/>
          <w:divBdr>
            <w:top w:val="none" w:sz="0" w:space="0" w:color="auto"/>
            <w:left w:val="none" w:sz="0" w:space="0" w:color="auto"/>
            <w:bottom w:val="none" w:sz="0" w:space="0" w:color="auto"/>
            <w:right w:val="none" w:sz="0" w:space="0" w:color="auto"/>
          </w:divBdr>
          <w:divsChild>
            <w:div w:id="632368641">
              <w:marLeft w:val="0pt"/>
              <w:marRight w:val="0pt"/>
              <w:marTop w:val="0pt"/>
              <w:marBottom w:val="0pt"/>
              <w:divBdr>
                <w:top w:val="none" w:sz="0" w:space="0" w:color="auto"/>
                <w:left w:val="none" w:sz="0" w:space="0" w:color="auto"/>
                <w:bottom w:val="none" w:sz="0" w:space="0" w:color="auto"/>
                <w:right w:val="none" w:sz="0" w:space="0" w:color="auto"/>
              </w:divBdr>
              <w:divsChild>
                <w:div w:id="1126238236">
                  <w:marLeft w:val="0pt"/>
                  <w:marRight w:val="0pt"/>
                  <w:marTop w:val="0pt"/>
                  <w:marBottom w:val="0pt"/>
                  <w:divBdr>
                    <w:top w:val="none" w:sz="0" w:space="0" w:color="auto"/>
                    <w:left w:val="none" w:sz="0" w:space="0" w:color="auto"/>
                    <w:bottom w:val="none" w:sz="0" w:space="0" w:color="auto"/>
                    <w:right w:val="none" w:sz="0" w:space="0" w:color="auto"/>
                  </w:divBdr>
                  <w:divsChild>
                    <w:div w:id="152459094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 w:id="196431329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676155654">
          <w:marLeft w:val="0pt"/>
          <w:marRight w:val="0pt"/>
          <w:marTop w:val="0pt"/>
          <w:marBottom w:val="0pt"/>
          <w:divBdr>
            <w:top w:val="none" w:sz="0" w:space="0" w:color="auto"/>
            <w:left w:val="none" w:sz="0" w:space="0" w:color="auto"/>
            <w:bottom w:val="none" w:sz="0" w:space="0" w:color="auto"/>
            <w:right w:val="none" w:sz="0" w:space="0" w:color="auto"/>
          </w:divBdr>
          <w:divsChild>
            <w:div w:id="1082601636">
              <w:marLeft w:val="0pt"/>
              <w:marRight w:val="0pt"/>
              <w:marTop w:val="0pt"/>
              <w:marBottom w:val="0pt"/>
              <w:divBdr>
                <w:top w:val="none" w:sz="0" w:space="0" w:color="auto"/>
                <w:left w:val="none" w:sz="0" w:space="0" w:color="auto"/>
                <w:bottom w:val="none" w:sz="0" w:space="0" w:color="auto"/>
                <w:right w:val="none" w:sz="0" w:space="0" w:color="auto"/>
              </w:divBdr>
              <w:divsChild>
                <w:div w:id="350109942">
                  <w:marLeft w:val="0pt"/>
                  <w:marRight w:val="0pt"/>
                  <w:marTop w:val="0pt"/>
                  <w:marBottom w:val="0pt"/>
                  <w:divBdr>
                    <w:top w:val="none" w:sz="0" w:space="0" w:color="auto"/>
                    <w:left w:val="none" w:sz="0" w:space="0" w:color="auto"/>
                    <w:bottom w:val="none" w:sz="0" w:space="0" w:color="auto"/>
                    <w:right w:val="none" w:sz="0" w:space="0" w:color="auto"/>
                  </w:divBdr>
                  <w:divsChild>
                    <w:div w:id="126565402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 w:id="212850427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144547739">
          <w:marLeft w:val="0pt"/>
          <w:marRight w:val="0pt"/>
          <w:marTop w:val="0pt"/>
          <w:marBottom w:val="0pt"/>
          <w:divBdr>
            <w:top w:val="none" w:sz="0" w:space="0" w:color="auto"/>
            <w:left w:val="none" w:sz="0" w:space="0" w:color="auto"/>
            <w:bottom w:val="none" w:sz="0" w:space="0" w:color="auto"/>
            <w:right w:val="none" w:sz="0" w:space="0" w:color="auto"/>
          </w:divBdr>
          <w:divsChild>
            <w:div w:id="1426457679">
              <w:marLeft w:val="0pt"/>
              <w:marRight w:val="0pt"/>
              <w:marTop w:val="0pt"/>
              <w:marBottom w:val="0pt"/>
              <w:divBdr>
                <w:top w:val="none" w:sz="0" w:space="0" w:color="auto"/>
                <w:left w:val="none" w:sz="0" w:space="0" w:color="auto"/>
                <w:bottom w:val="none" w:sz="0" w:space="0" w:color="auto"/>
                <w:right w:val="none" w:sz="0" w:space="0" w:color="auto"/>
              </w:divBdr>
              <w:divsChild>
                <w:div w:id="2082481200">
                  <w:marLeft w:val="0pt"/>
                  <w:marRight w:val="0pt"/>
                  <w:marTop w:val="0pt"/>
                  <w:marBottom w:val="0pt"/>
                  <w:divBdr>
                    <w:top w:val="none" w:sz="0" w:space="0" w:color="auto"/>
                    <w:left w:val="none" w:sz="0" w:space="0" w:color="auto"/>
                    <w:bottom w:val="none" w:sz="0" w:space="0" w:color="auto"/>
                    <w:right w:val="none" w:sz="0" w:space="0" w:color="auto"/>
                  </w:divBdr>
                  <w:divsChild>
                    <w:div w:id="27768559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purl.oclc.org/ooxml/officeDocument/relationships/image" Target="media/image1.png"/><Relationship Id="rId13" Type="http://purl.oclc.org/ooxml/officeDocument/relationships/header" Target="header1.xml"/><Relationship Id="rId18"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yperlink" Target="https://orcid.org/0000-0002-7116-9001" TargetMode="External"/><Relationship Id="rId17" Type="http://purl.oclc.org/ooxml/officeDocument/relationships/header" Target="header3.xml"/><Relationship Id="rId2" Type="http://purl.oclc.org/ooxml/officeDocument/relationships/numbering" Target="numbering.xml"/><Relationship Id="rId16" Type="http://purl.oclc.org/ooxml/officeDocument/relationships/footer" Target="footer2.xml"/><Relationship Id="rId20" Type="http://purl.oclc.org/ooxml/officeDocument/relationships/theme" Target="theme/theme1.xml"/><Relationship Id="rId1" Type="http://purl.oclc.org/ooxml/officeDocument/relationships/customXml" Target="../customXml/item1.xml"/><Relationship Id="rId6" Type="http://purl.oclc.org/ooxml/officeDocument/relationships/footnotes" Target="footnotes.xml"/><Relationship Id="rId11" Type="http://purl.oclc.org/ooxml/officeDocument/relationships/hyperlink" Target="mailto:sandralujan15@gmail.com" TargetMode="External"/><Relationship Id="rId5" Type="http://purl.oclc.org/ooxml/officeDocument/relationships/webSettings" Target="webSettings.xml"/><Relationship Id="rId15" Type="http://purl.oclc.org/ooxml/officeDocument/relationships/footer" Target="footer1.xml"/><Relationship Id="rId10" Type="http://purl.oclc.org/ooxml/officeDocument/relationships/hyperlink" Target="https://orcid.org/0009-0002-0292-4859" TargetMode="External"/><Relationship Id="rId19" Type="http://purl.oclc.org/ooxml/officeDocument/relationships/fontTable" Target="fontTable.xml"/><Relationship Id="rId4" Type="http://purl.oclc.org/ooxml/officeDocument/relationships/settings" Target="settings.xml"/><Relationship Id="rId9" Type="http://purl.oclc.org/ooxml/officeDocument/relationships/hyperlink" Target="mailto:ennitgutierrezo0@gmail.com" TargetMode="External"/><Relationship Id="rId14" Type="http://purl.oclc.org/ooxml/officeDocument/relationships/header" Target="header2.xml"/></Relationships>
</file>

<file path=word/_rels/footer1.xml.rels><?xml version="1.0" encoding="UTF-8" standalone="yes"?>
<Relationships xmlns="http://schemas.openxmlformats.org/package/2006/relationships"><Relationship Id="rId1" Type="http://purl.oclc.org/ooxml/officeDocument/relationships/hyperlink" Target="http://www.educas.com.pe" TargetMode="External"/></Relationships>
</file>

<file path=word/_rels/footer2.xml.rels><?xml version="1.0" encoding="UTF-8" standalone="yes"?>
<Relationships xmlns="http://schemas.openxmlformats.org/package/2006/relationships"><Relationship Id="rId1" Type="http://purl.oclc.org/ooxml/officeDocument/relationships/hyperlink" Target="http://www.educas.com.pe/" TargetMode="External"/></Relationships>
</file>

<file path=word/_rels/footer3.xml.rels><?xml version="1.0" encoding="UTF-8" standalone="yes"?>
<Relationships xmlns="http://schemas.openxmlformats.org/package/2006/relationships"><Relationship Id="rId1" Type="http://purl.oclc.org/ooxml/officeDocument/relationships/hyperlink" Target="http://www.educas.com.pe/" TargetMode="External"/></Relationships>
</file>

<file path=word/_rels/header3.xml.rels><?xml version="1.0" encoding="UTF-8" standalone="yes"?>
<Relationships xmlns="http://schemas.openxmlformats.org/package/2006/relationships"><Relationship Id="rId2" Type="http://purl.oclc.org/ooxml/officeDocument/relationships/image" Target="media/image3.png"/><Relationship Id="rId1" Type="http://purl.oclc.org/ooxml/officeDocument/relationships/image" Target="media/image2.png"/></Relationships>
</file>

<file path=word/theme/theme1.xml><?xml version="1.0" encoding="utf-8"?>
<a:theme xmlns:a="http://purl.oclc.org/ooxml/drawingml/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Vel21</b:Tag>
    <b:SourceType>Report</b:SourceType>
    <b:Guid>{7BBB1AA4-3F98-48F7-A337-69331A286771}</b:Guid>
    <b:Title>Análisis financiero del sector farmacéutico, principales empresas en Ecuador antes y después de la pandemia COVID-19: análisis comparativo</b:Title>
    <b:Year>2021</b:Year>
    <b:Publisher>Universidad de Guayaquil</b:Publisher>
    <b:City>Guayaquil</b:City>
    <b:Author>
      <b:Author>
        <b:NameList>
          <b:Person>
            <b:Last>Quichimbo Oña </b:Last>
            <b:Middle>Alexandra</b:Middle>
            <b:First>Jennifer </b:First>
          </b:Person>
          <b:Person>
            <b:Last>Veliz Arias </b:Last>
            <b:Middle>Brigitte</b:Middle>
            <b:First>Michelle </b:First>
          </b:Person>
        </b:NameList>
      </b:Author>
    </b:Author>
    <b:RefOrder>1</b:RefOrder>
  </b:Source>
  <b:Source>
    <b:Tag>Jer21</b:Tag>
    <b:SourceType>Report</b:SourceType>
    <b:Guid>{E1E45F2A-8D61-4439-BB64-1265C2CA0F32}</b:Guid>
    <b:Title>El COVID-19 y su impacto en la rentabilidad en la Empresa J &amp; M Minería S.A.C., 2019-2020</b:Title>
    <b:Year>2021</b:Year>
    <b:Publisher>Universidad Continental</b:Publisher>
    <b:City>Huancayo</b:City>
    <b:Author>
      <b:Author>
        <b:NameList>
          <b:Person>
            <b:Last>Jeremias Trujillo</b:Last>
            <b:Middle>Jackelyn</b:Middle>
            <b:First>Mishell </b:First>
          </b:Person>
          <b:Person>
            <b:Last>Montero Sanchez</b:Last>
            <b:Middle>Laura</b:Middle>
            <b:First>Yanira </b:First>
          </b:Person>
        </b:NameList>
      </b:Author>
    </b:Author>
    <b:RefOrder>4</b:RefOrder>
  </b:Source>
  <b:Source>
    <b:Tag>TAM20</b:Tag>
    <b:SourceType>JournalArticle</b:SourceType>
    <b:Guid>{E190B663-D9D4-4193-AD99-7E27652E95BA}</b:Guid>
    <b:Title>Innovaciones financiera en el contexto del Covid-19</b:Title>
    <b:Year>2020</b:Year>
    <b:Author>
      <b:Author>
        <b:NameList>
          <b:Person>
            <b:Last>Tambini</b:Last>
            <b:First>Julio</b:First>
          </b:Person>
          <b:Person>
            <b:Last>Diaz</b:Last>
            <b:First>Eduardo</b:First>
          </b:Person>
        </b:NameList>
      </b:Author>
    </b:Author>
    <b:JournalName>Moneda</b:JournalName>
    <b:Pages>49-53</b:Pages>
    <b:RefOrder>5</b:RefOrder>
  </b:Source>
  <b:Source>
    <b:Tag>Gur21</b:Tag>
    <b:SourceType>JournalArticle</b:SourceType>
    <b:Guid>{72D57362-7C7F-442C-AA0A-9176448BA1F4}</b:Guid>
    <b:Title>Actividad económica y rentabilidad: aprendizaje de la crisis COVID-19 para empresas de consumo frecuente mexicanas</b:Title>
    <b:JournalName>Contaduría y Administración</b:JournalName>
    <b:Year>2021</b:Year>
    <b:Pages>1-23</b:Pages>
    <b:Author>
      <b:Author>
        <b:NameList>
          <b:Person>
            <b:Last>Gurrola Ríos</b:Last>
            <b:First>Cesar </b:First>
          </b:Person>
          <b:Person>
            <b:Last>Morales Castro</b:Last>
            <b:Middle>Antonio </b:Middle>
            <b:First>José </b:First>
          </b:Person>
        </b:NameList>
      </b:Author>
    </b:Author>
    <b:RefOrder>6</b:RefOrder>
  </b:Source>
  <b:Source>
    <b:Tag>Gut16</b:Tag>
    <b:SourceType>JournalArticle</b:SourceType>
    <b:Guid>{433F6FA6-36A0-4E51-8A2D-945E21A89A02}</b:Guid>
    <b:Title>Liquidez y rentabilidad. Una revisión conceptual y sus dimensiones</b:Title>
    <b:Year>2016</b:Year>
    <b:JournalName>Revista Valor Contable</b:JournalName>
    <b:Pages>9-32</b:Pages>
    <b:Author>
      <b:Author>
        <b:NameList>
          <b:Person>
            <b:Last>Gutiérrez Janampa</b:Last>
            <b:Middle>Anderson </b:Middle>
            <b:First>Joel </b:First>
          </b:Person>
          <b:Person>
            <b:Last>Tapia Reyes</b:Last>
            <b:Middle>Percy </b:Middle>
            <b:First>Jhonatan </b:First>
          </b:Person>
        </b:NameList>
      </b:Author>
    </b:Author>
    <b:RefOrder>7</b:RefOrder>
  </b:Source>
  <b:Source>
    <b:Tag>Mel17</b:Tag>
    <b:SourceType>Book</b:SourceType>
    <b:Guid>{EA831D48-10E0-48AA-BDFD-1DB7D5645867}</b:Guid>
    <b:Title>Análisis Financiero</b:Title>
    <b:Year>2017</b:Year>
    <b:Publisher>Fondo editorial Areandino</b:Publisher>
    <b:City>Bogotá</b:City>
    <b:Author>
      <b:Author>
        <b:NameList>
          <b:Person>
            <b:Last>Melo Iscalá </b:Last>
            <b:Middle>Blanca </b:Middle>
            <b:First>Haydee </b:First>
          </b:Person>
        </b:NameList>
      </b:Author>
    </b:Author>
    <b:RefOrder>8</b:RefOrder>
  </b:Source>
  <b:Source>
    <b:Tag>Arr21</b:Tag>
    <b:SourceType>Report</b:SourceType>
    <b:Guid>{E40FC293-205F-417B-BFA2-C7F6FA9FF2EC}</b:Guid>
    <b:Title>Evaluación de la situación financiera de la empresa Kineletec S.A en tiempos de pandemia covid-19 babahoyo periodo 2019-2020 (Tesis de pregrado)</b:Title>
    <b:Year>2021</b:Year>
    <b:City>Babahoyo</b:City>
    <b:Publisher>Universidad Técnica de Babahoyo</b:Publisher>
    <b:Author>
      <b:Author>
        <b:NameList>
          <b:Person>
            <b:Last>Arreaga Alcívar</b:Last>
            <b:Middle>Marcelo </b:Middle>
            <b:First>Darwin </b:First>
          </b:Person>
        </b:NameList>
      </b:Author>
    </b:Author>
    <b:RefOrder>12</b:RefOrder>
  </b:Source>
  <b:Source>
    <b:Tag>Gut21</b:Tag>
    <b:SourceType>Report</b:SourceType>
    <b:Guid>{78843A23-708C-4EDA-AB96-B1817C6EFB52}</b:Guid>
    <b:Title>Impacto en la Situación Económica y Financiera de la empresa Obiettivo Lavoro Los Andes S.A.C. en el contexto del COVID 19, Arequipa 2019-2020</b:Title>
    <b:Year>2021</b:Year>
    <b:Publisher>Universidad César Vallejo</b:Publisher>
    <b:City>Lima</b:City>
    <b:Author>
      <b:Author>
        <b:NameList>
          <b:Person>
            <b:Last>Gutiérrez Rodríguez</b:Last>
            <b:Middle>Estela</b:Middle>
            <b:First>Susana </b:First>
          </b:Person>
        </b:NameList>
      </b:Author>
    </b:Author>
    <b:RefOrder>13</b:RefOrder>
  </b:Source>
  <b:Source>
    <b:Tag>Ins22</b:Tag>
    <b:SourceType>Report</b:SourceType>
    <b:Guid>{AB13EF8F-7876-49B4-AD0F-FCC5388233DA}</b:Guid>
    <b:Author>
      <b:Author>
        <b:Corporate>Instituto Nacional de Estadística e Informática </b:Corporate>
      </b:Author>
    </b:Author>
    <b:Title>Demografía empresarial en el Perú</b:Title>
    <b:Year>2022</b:Year>
    <b:Publisher>Centro de investigación INEI</b:Publisher>
    <b:City>Lima</b:City>
    <b:RefOrder>14</b:RefOrder>
  </b:Source>
  <b:Source>
    <b:Tag>Mol181</b:Tag>
    <b:SourceType>JournalArticle</b:SourceType>
    <b:Guid>{9D549E08-1586-42EA-A970-A667916F17D1}</b:Guid>
    <b:Title>Análisis financiero en las empresas comerciales de Ecuador</b:Title>
    <b:Year>2018</b:Year>
    <b:Author>
      <b:Author>
        <b:NameList>
          <b:Person>
            <b:Last>Molina </b:Last>
            <b:First>Luisa</b:First>
          </b:Person>
          <b:Person>
            <b:Last>Oña</b:Last>
            <b:First>Jessica</b:First>
          </b:Person>
          <b:Person>
            <b:Last>Tipán</b:Last>
            <b:First>Mayra</b:First>
          </b:Person>
          <b:Person>
            <b:Last>Topa</b:Last>
            <b:First>Sharon</b:First>
          </b:Person>
        </b:NameList>
      </b:Author>
    </b:Author>
    <b:JournalName>Revista de Investigación Sigma </b:JournalName>
    <b:Pages>8-28</b:Pages>
    <b:RefOrder>15</b:RefOrder>
  </b:Source>
  <b:Source>
    <b:Tag>Coc21</b:Tag>
    <b:SourceType>Report</b:SourceType>
    <b:Guid>{BFF14EEE-D964-4991-8E30-0A6D1A6314D1}</b:Guid>
    <b:Title>Análisis financiero y rentabilidad en colaboradores de empresas industriales de Lima metropolitana, 2021</b:Title>
    <b:Year>2021</b:Year>
    <b:Publisher>Universidad Peruana de las Américas</b:Publisher>
    <b:City>Lima</b:City>
    <b:Author>
      <b:Author>
        <b:NameList>
          <b:Person>
            <b:Last>Coca Laos</b:Last>
            <b:Middle>Erick</b:Middle>
            <b:First>Dennys </b:First>
          </b:Person>
        </b:NameList>
      </b:Author>
    </b:Author>
    <b:RefOrder>16</b:RefOrder>
  </b:Source>
  <b:Source>
    <b:Tag>Ull20</b:Tag>
    <b:SourceType>Report</b:SourceType>
    <b:Guid>{7E17B7FC-CE1D-4E20-B24D-41719B7294DA}</b:Guid>
    <b:Title>Análisis de la Rentabilidad de las MYPEs, Representaciones Montero S.R.L. y Shulita E.I.R.L., en el contexto de la Pandemia COVID-19, periodo 2019-2020</b:Title>
    <b:Year>2020</b:Year>
    <b:Publisher>Universidad Peruana Unión</b:Publisher>
    <b:City>Lima</b:City>
    <b:Author>
      <b:Author>
        <b:NameList>
          <b:Person>
            <b:Last>Ullauri Chuquipiondo</b:Last>
            <b:First>Javier </b:First>
          </b:Person>
          <b:Person>
            <b:Last>Vargas Saldaña</b:Last>
            <b:First>Josías </b:First>
          </b:Person>
        </b:NameList>
      </b:Author>
    </b:Author>
    <b:RefOrder>17</b:RefOrder>
  </b:Source>
  <b:Source>
    <b:Tag>Pér20</b:Tag>
    <b:SourceType>Report</b:SourceType>
    <b:Guid>{3040FE6D-C16E-4208-B9A6-0740F0FF3CE2}</b:Guid>
    <b:Title>Actividades económicas frente al Covid-19 y su incidencia en la rentabilidad de la Cooperativa Agraria Allima Cacao, Chazuta 2020</b:Title>
    <b:Year>2020</b:Year>
    <b:Publisher>Universidad César Vallejo</b:Publisher>
    <b:City>Tarapoto</b:City>
    <b:Author>
      <b:Author>
        <b:NameList>
          <b:Person>
            <b:Last>Pérez Angulo </b:Last>
            <b:Middle>Hanick</b:Middle>
            <b:First>Russell </b:First>
          </b:Person>
          <b:Person>
            <b:Last>Tapia Cueto</b:Last>
            <b:Middle>Santiago</b:Middle>
            <b:First>Edgar </b:First>
          </b:Person>
        </b:NameList>
      </b:Author>
    </b:Author>
    <b:RefOrder>2</b:RefOrder>
  </b:Source>
  <b:Source>
    <b:Tag>Pau21</b:Tag>
    <b:SourceType>Report</b:SourceType>
    <b:Guid>{763E069A-61B9-4613-AD68-95E8A20AF069}</b:Guid>
    <b:Title>Cuentas por cobrar y liquidez en una empresa del sector comercial registrada en la bolsa de valores, periodo 2016-2020</b:Title>
    <b:Year>2021</b:Year>
    <b:Publisher>Universidad César Vallejo</b:Publisher>
    <b:City>Lima</b:City>
    <b:Author>
      <b:Author>
        <b:NameList>
          <b:Person>
            <b:Last>Pauccar Quispe</b:Last>
            <b:First>Elizabeth</b:First>
          </b:Person>
          <b:Person>
            <b:Last>Serrano Usca</b:Last>
            <b:First>Fiorela</b:First>
          </b:Person>
        </b:NameList>
      </b:Author>
    </b:Author>
    <b:RefOrder>3</b:RefOrder>
  </b:Source>
  <b:Source>
    <b:Tag>Med21</b:Tag>
    <b:SourceType>BookSection</b:SourceType>
    <b:Guid>{DA614470-8E18-4D8F-BD0C-D63E6B38AD1D}</b:Guid>
    <b:Title>La baja rentabilidad genera consecuencias que pueden conllevar a la deserción empresarial</b:Title>
    <b:Year>2021</b:Year>
    <b:Publisher>Universidad Santiago de Cali.</b:Publisher>
    <b:City>Cali</b:City>
    <b:BookTitle>Cultura tributaria: relevancia ante rentabilidad empresarial</b:BookTitle>
    <b:Pages>155-184</b:Pages>
    <b:Author>
      <b:Author>
        <b:NameList>
          <b:Person>
            <b:Last>Medina Castro</b:Last>
            <b:Middle>Fernanda </b:Middle>
            <b:First>Mercy </b:First>
          </b:Person>
          <b:Person>
            <b:Last>Quilindo Chaparral</b:Last>
            <b:Middle>Alexandra </b:Middle>
            <b:First>María </b:First>
          </b:Person>
          <b:Person>
            <b:Last>Fernández Hurtado</b:Last>
            <b:Middle>Rick </b:Middle>
            <b:First>Saúl </b:First>
          </b:Person>
          <b:Person>
            <b:Last>Martínez Martínez</b:Last>
            <b:Middle>Ángela </b:Middle>
            <b:First>Luz </b:First>
          </b:Person>
        </b:NameList>
      </b:Author>
      <b:BookAuthor>
        <b:NameList>
          <b:Person>
            <b:Last>Fernández Hurtado</b:Last>
            <b:Middle>R</b:Middle>
            <b:First>S</b:First>
          </b:Person>
          <b:Person>
            <b:Last>Beltrán García</b:Last>
            <b:First>L</b:First>
          </b:Person>
        </b:NameList>
      </b:BookAuthor>
    </b:Author>
    <b:RefOrder>18</b:RefOrder>
  </b:Source>
  <b:Source>
    <b:Tag>Bae171</b:Tag>
    <b:SourceType>Book</b:SourceType>
    <b:Guid>{89CF43DF-D1C6-4813-9966-6847157240B4}</b:Guid>
    <b:Title>Metodología de la Investigación </b:Title>
    <b:Year>2017</b:Year>
    <b:City>Mexico</b:City>
    <b:Publisher>Grupo Editorial Patria</b:Publisher>
    <b:Author>
      <b:Author>
        <b:NameList>
          <b:Person>
            <b:Last>Baena</b:Last>
            <b:First>G.</b:First>
          </b:Person>
        </b:NameList>
      </b:Author>
    </b:Author>
    <b:RefOrder>19</b:RefOrder>
  </b:Source>
  <b:Source>
    <b:Tag>Her183</b:Tag>
    <b:SourceType>Book</b:SourceType>
    <b:Guid>{93AF1B2D-5252-4149-B589-EFA68603CB86}</b:Guid>
    <b:Title>Metodología de la investigación las rutas cualitativa, cuantitativa y mixta</b:Title>
    <b:Year>2018</b:Year>
    <b:City>Mexico </b:City>
    <b:Publisher>Mc Graw Hill</b:Publisher>
    <b:Author>
      <b:Author>
        <b:NameList>
          <b:Person>
            <b:Last>Hernandez</b:Last>
            <b:First>R.</b:First>
          </b:Person>
          <b:Person>
            <b:Last>Mendoza</b:Last>
            <b:Middle>P.</b:Middle>
            <b:First>C.</b:First>
          </b:Person>
        </b:NameList>
      </b:Author>
    </b:Author>
    <b:RefOrder>20</b:RefOrder>
  </b:Source>
  <b:Source>
    <b:Tag>Can154</b:Tag>
    <b:SourceType>Book</b:SourceType>
    <b:Guid>{2E45768C-F1EE-4B8E-8C57-707BECCD7F36}</b:Guid>
    <b:Title>¿Cómo hacer la tesis Universitaria? </b:Title>
    <b:Year>2015</b:Year>
    <b:City>Cusco </b:City>
    <b:Publisher>Perú: Colorgraf S.R.L.</b:Publisher>
    <b:Author>
      <b:Author>
        <b:NameList>
          <b:Person>
            <b:Last>Canahuire</b:Last>
            <b:Middle>E.</b:Middle>
            <b:First>A.</b:First>
          </b:Person>
          <b:Person>
            <b:Last>Endara</b:Last>
            <b:First>F.</b:First>
          </b:Person>
          <b:Person>
            <b:Last>Morante </b:Last>
            <b:Middle>A.</b:Middle>
            <b:First>E.</b:First>
          </b:Person>
        </b:NameList>
      </b:Author>
    </b:Author>
    <b:RefOrder>21</b:RefOrder>
  </b:Source>
  <b:Source>
    <b:Tag>Ñau184</b:Tag>
    <b:SourceType>Book</b:SourceType>
    <b:Guid>{B20BC5EA-29E1-471E-9ED6-A4B8577F6A23}</b:Guid>
    <b:Title>Metodología de la Investigación cuantitativa - cualitativa y redacción de tesis</b:Title>
    <b:Year>2018</b:Year>
    <b:City>Bogotá</b:City>
    <b:Publisher>Ediciones de la U.</b:Publisher>
    <b:Author>
      <b:Author>
        <b:NameList>
          <b:Person>
            <b:Last>Ñaupas</b:Last>
            <b:First>H.</b:First>
          </b:Person>
          <b:Person>
            <b:Last>Valdivia</b:Last>
            <b:Middle>R.</b:Middle>
            <b:First>M.</b:First>
          </b:Person>
          <b:Person>
            <b:Last>Palacios </b:Last>
            <b:Middle>J.</b:Middle>
            <b:First>J.</b:First>
          </b:Person>
          <b:Person>
            <b:Last>Romero</b:Last>
            <b:Middle>E.</b:Middle>
            <b:First>H.</b:First>
          </b:Person>
        </b:NameList>
      </b:Author>
    </b:Author>
    <b:RefOrder>22</b:RefOrder>
  </b:Source>
  <b:Source>
    <b:Tag>Vil153</b:Tag>
    <b:SourceType>Book</b:SourceType>
    <b:Guid>{B8C9358E-A90E-4375-8346-F94B2DC01D7A}</b:Guid>
    <b:Title>La investigación cualitativa, rutas para la puresta en práctica</b:Title>
    <b:Year>2015</b:Year>
    <b:City>Machala - Mexico</b:City>
    <b:Publisher>Universidad Tecnica de Machala</b:Publisher>
    <b:Author>
      <b:Author>
        <b:NameList>
          <b:Person>
            <b:Last>Villafuerte</b:Last>
            <b:Middle>S.</b:Middle>
            <b:First>J.</b:First>
          </b:Person>
          <b:Person>
            <b:Last>Intriago</b:Last>
            <b:Middle>A.</b:Middle>
            <b:First>E.</b:First>
          </b:Person>
          <b:Person>
            <b:Last>Soto</b:Last>
            <b:Middle>T.</b:Middle>
            <b:First>S.</b:First>
          </b:Person>
        </b:NameList>
      </b:Author>
    </b:Author>
    <b:RefOrder>23</b:RefOrder>
  </b:Source>
  <b:Source>
    <b:Tag>Mir21</b:Tag>
    <b:SourceType>Report</b:SourceType>
    <b:Guid>{104B0632-186B-460F-8AEA-0846969B6153}</b:Guid>
    <b:Title>Impacto del covid-19 en la rentabilidad de las empresas del rubro cervecero reguladas por superintendencia del mercado de valores, al 2020</b:Title>
    <b:Year>2021</b:Year>
    <b:Publisher>Universidad César Vallejo</b:Publisher>
    <b:City>Lima</b:City>
    <b:Author>
      <b:Author>
        <b:NameList>
          <b:Person>
            <b:Last>Nole Urbina</b:Last>
            <b:Middle>Magdalena</b:Middle>
            <b:First>Miriam</b:First>
          </b:Person>
          <b:Person>
            <b:Last>Velasquez Pezantes</b:Last>
            <b:Middle>Enrrique</b:Middle>
            <b:First>Luis </b:First>
          </b:Person>
        </b:NameList>
      </b:Author>
    </b:Author>
    <b:RefOrder>24</b:RefOrder>
  </b:Source>
  <b:Source>
    <b:Tag>And17</b:Tag>
    <b:SourceType>JournalArticle</b:SourceType>
    <b:Guid>{B1389FBC-E351-4C27-84CC-161D2C0F4EA7}</b:Guid>
    <b:Title>Ratios o razones financieras</b:Title>
    <b:Year>2017</b:Year>
    <b:Pages>53-55</b:Pages>
    <b:JournalName>Contadores &amp; Empresas</b:JournalName>
    <b:Author>
      <b:Author>
        <b:NameList>
          <b:Person>
            <b:Last>Andrade Pinelo</b:Last>
            <b:Middle>Miguel</b:Middle>
            <b:First>Antonio </b:First>
          </b:Person>
        </b:NameList>
      </b:Author>
    </b:Author>
    <b:RefOrder>25</b:RefOrder>
  </b:Source>
  <b:Source>
    <b:Tag>Hua21</b:Tag>
    <b:SourceType>Report</b:SourceType>
    <b:Guid>{A3839357-2840-40B9-9D6E-5468553F6DCA}</b:Guid>
    <b:Title>Análisis de liquidez y rentabilidad de la empresa Distribuidora Jandy S.A.C., periodo 2017- junio 2019</b:Title>
    <b:Year>2021</b:Year>
    <b:Author>
      <b:Author>
        <b:NameList>
          <b:Person>
            <b:Last>Huamani Llamosas</b:Last>
            <b:Middle>Kenyo </b:Middle>
            <b:First>Edduin </b:First>
          </b:Person>
        </b:NameList>
      </b:Author>
    </b:Author>
    <b:Publisher>Universidad Peruana Unión</b:Publisher>
    <b:City>Lima</b:City>
    <b:RefOrder>26</b:RefOrder>
  </b:Source>
  <b:Source>
    <b:Tag>Cca19</b:Tag>
    <b:SourceType>Report</b:SourceType>
    <b:Guid>{181833FA-83B4-44FB-8B16-E38A59E59FC5}</b:Guid>
    <b:Title>Análisis de la rentabilidad de una empresa comercializadora, Lima 2017-2018</b:Title>
    <b:Year>2019</b:Year>
    <b:Publisher>Universidad Norbert Wiener</b:Publisher>
    <b:City>Lima</b:City>
    <b:Author>
      <b:Author>
        <b:NameList>
          <b:Person>
            <b:Last>Ccahuin Sanchez</b:Last>
            <b:Middle>Guillermo</b:Middle>
            <b:First>Renzo </b:First>
          </b:Person>
        </b:NameList>
      </b:Author>
    </b:Author>
    <b:RefOrder>27</b:RefOrder>
  </b:Source>
  <b:Source>
    <b:Tag>Pri21</b:Tag>
    <b:SourceType>Report</b:SourceType>
    <b:Guid>{013DA56C-95AE-4E5B-8321-2045A2B6A5AD}</b:Guid>
    <b:Title>Efecto de la importacion en la rentabilidad, en tiempos de covid- 19 de la empresa comercial Tami S.R.L., Chiclayo 2020</b:Title>
    <b:Year>2021</b:Year>
    <b:Publisher>Universidad Privada Juan Mejía Baca</b:Publisher>
    <b:City>Ciclayo</b:City>
    <b:Author>
      <b:Author>
        <b:NameList>
          <b:Person>
            <b:Last>Prieto Rodriguez </b:Last>
            <b:Middle>Andrea</b:Middle>
            <b:First>Noemi </b:First>
          </b:Person>
        </b:NameList>
      </b:Author>
    </b:Author>
    <b:RefOrder>28</b:RefOrder>
  </b:Source>
  <b:Source>
    <b:Tag>Fer18</b:Tag>
    <b:SourceType>Report</b:SourceType>
    <b:Guid>{B62E4185-D3C8-48E7-B3B4-351029818B2E}</b:Guid>
    <b:Title>Análisis de los estados financieros y la toma de decisiones para incrementar rentabilidad en grupo Agrotec Maquinarias S.A.C. 2016 – 2017</b:Title>
    <b:Year>2018</b:Year>
    <b:Publisher>Universidad Señor de Sipán</b:Publisher>
    <b:City>Pimentel</b:City>
    <b:Author>
      <b:Author>
        <b:NameList>
          <b:Person>
            <b:Last>Fernández Pérez </b:Last>
            <b:Middle>Elvira</b:Middle>
            <b:First>Kelly </b:First>
          </b:Person>
        </b:NameList>
      </b:Author>
    </b:Author>
    <b:RefOrder>29</b:RefOrder>
  </b:Source>
  <b:Source>
    <b:Tag>Vel181</b:Tag>
    <b:SourceType>Report</b:SourceType>
    <b:Guid>{FED32A3A-0387-4414-92C1-1350D8EDEBD5}</b:Guid>
    <b:Title>Análisis de la liquidez y rentabilidad del periodo 2013 al 2017 y propuesta de una planificación financiera para la empresa Fibrater S.R.L. Chimbote, 2018</b:Title>
    <b:Year>2018</b:Year>
    <b:Publisher>Universidad César Vallejo</b:Publisher>
    <b:City>Chimbote</b:City>
    <b:Author>
      <b:Author>
        <b:NameList>
          <b:Person>
            <b:Last>Velásquez Campos</b:Last>
            <b:Middle>Manuel </b:Middle>
            <b:First>Víctor </b:First>
          </b:Person>
        </b:NameList>
      </b:Author>
    </b:Author>
    <b:RefOrder>30</b:RefOrder>
  </b:Source>
  <b:Source>
    <b:Tag>Yug22</b:Tag>
    <b:SourceType>Report</b:SourceType>
    <b:Guid>{30427028-849E-42A8-9AB4-01C8C2CD427F}</b:Guid>
    <b:Title>Análisis del impacto de la pandemia del Covid-19 en la rentabilidad de las cadenas más relevantes y especializadas en la comercialización de electrodomésticos dentro del cantón La Libertad en la provincia de Santa Elena durante el periodo 2017-2020</b:Title>
    <b:Year>2022</b:Year>
    <b:Publisher>Universidad Católica  de Santiago de Guayaquil</b:Publisher>
    <b:City>Guayaquil</b:City>
    <b:Author>
      <b:Author>
        <b:NameList>
          <b:Person>
            <b:Last>Yugcha Cherrez</b:Last>
            <b:Middle>Stephania</b:Middle>
            <b:First>Daniela </b:First>
          </b:Person>
          <b:Person>
            <b:Last>Balón Panchana </b:Last>
            <b:Middle>Marlovi</b:Middle>
            <b:First>Juli </b:First>
          </b:Person>
        </b:NameList>
      </b:Author>
    </b:Author>
    <b:RefOrder>31</b:RefOrder>
  </b:Source>
  <b:Source>
    <b:Tag>And22</b:Tag>
    <b:SourceType>Report</b:SourceType>
    <b:Guid>{1A49E1D6-A676-477F-9F61-0C03560394FD}</b:Guid>
    <b:Title>Análisis de los estados financieros de las principales cadenas de supermercados en Ecuador, durante la pandemia de la covid-19</b:Title>
    <b:Year>2022</b:Year>
    <b:Publisher>Universidad de Guayaquil</b:Publisher>
    <b:City>Guayaquil</b:City>
    <b:Author>
      <b:Author>
        <b:NameList>
          <b:Person>
            <b:Last>Andrade Valle </b:Last>
            <b:Middle>Antonio</b:Middle>
            <b:First>Cristhian </b:First>
          </b:Person>
        </b:NameList>
      </b:Author>
    </b:Author>
    <b:RefOrder>32</b:RefOrder>
  </b:Source>
  <b:Source>
    <b:Tag>Hua22</b:Tag>
    <b:SourceType>JournalArticle</b:SourceType>
    <b:Guid>{DA4A8FA7-1553-496E-8EEE-18C215E9163D}</b:Guid>
    <b:Title>Impacto económico de la Covid-19 en la rentabilidad de la empresa Goicochea &amp; Auditores S. Civil, Jaén 2020</b:Title>
    <b:JournalName>Sapienza: International Journal of Interdisciplinary Studies</b:JournalName>
    <b:Year>2022</b:Year>
    <b:Pages>1-20</b:Pages>
    <b:Author>
      <b:Author>
        <b:NameList>
          <b:Person>
            <b:Last>Huamán Roque </b:Last>
            <b:Middle>Marizol</b:Middle>
            <b:First>Jeny </b:First>
          </b:Person>
          <b:Person>
            <b:Last>Zelada Córdova</b:Last>
            <b:Middle>Michel</b:Middle>
            <b:First>Juan </b:First>
          </b:Person>
          <b:Person>
            <b:Last>Oblitas Otero</b:Last>
            <b:Middle>Carlos </b:Middle>
            <b:First>Roberto </b:First>
          </b:Person>
        </b:NameList>
      </b:Author>
    </b:Author>
    <b:RefOrder>33</b:RefOrder>
  </b:Source>
  <b:Source>
    <b:Tag>Ome17</b:Tag>
    <b:SourceType>Book</b:SourceType>
    <b:Guid>{0529F756-4D7D-4EED-9503-53B01DB0A1A7}</b:Guid>
    <b:Title>Contabilidad General. (13ava ed.)</b:Title>
    <b:Year>2017</b:Year>
    <b:Author>
      <b:Author>
        <b:NameList>
          <b:Person>
            <b:Last>Omeñaca García</b:Last>
            <b:First>Jesús </b:First>
          </b:Person>
        </b:NameList>
      </b:Author>
    </b:Author>
    <b:City>México</b:City>
    <b:Publisher>Deusto</b:Publisher>
    <b:RefOrder>34</b:RefOrder>
  </b:Source>
  <b:Source>
    <b:Tag>Feb20</b:Tag>
    <b:SourceType>Report</b:SourceType>
    <b:Guid>{72AC5E16-EF23-4C71-8A27-66AFF1285815}</b:Guid>
    <b:Title>Análisis de la rentabilidad en una empresa textil, Lima 2018 - 2019</b:Title>
    <b:Year>2020</b:Year>
    <b:City>Lima</b:City>
    <b:Publisher>Universidad Nobert Wiener</b:Publisher>
    <b:Author>
      <b:Author>
        <b:NameList>
          <b:Person>
            <b:Last>Febres Lopez</b:Last>
            <b:Middle>Rosmery</b:Middle>
            <b:First>Olga </b:First>
          </b:Person>
        </b:NameList>
      </b:Author>
    </b:Author>
    <b:RefOrder>35</b:RefOrder>
  </b:Source>
  <b:Source>
    <b:Tag>Ram18</b:Tag>
    <b:SourceType>Report</b:SourceType>
    <b:Guid>{25E5C55C-EA31-4AD0-8B06-79F2B14C5BF0}</b:Guid>
    <b:Title>Liquidez y rentabilidad en empresas de materiales de construcción registradas en la Superintendencia del Mercado de Valores, periodo 2015-2018</b:Title>
    <b:Year>2018</b:Year>
    <b:Publisher>Universidad César Vallejo</b:Publisher>
    <b:City>Lima</b:City>
    <b:Author>
      <b:Author>
        <b:NameList>
          <b:Person>
            <b:Last>Ramirez Casildo</b:Last>
            <b:Middle>Massiel</b:Middle>
            <b:First>Betssy </b:First>
          </b:Person>
        </b:NameList>
      </b:Author>
    </b:Author>
    <b:RefOrder>36</b:RefOrder>
  </b:Source>
  <b:Source>
    <b:Tag>Hua211</b:Tag>
    <b:SourceType>Report</b:SourceType>
    <b:Guid>{667119AD-844E-4BD7-BC5F-B00F106A6830}</b:Guid>
    <b:Title>Efectos del covid 19 en la liquidez y rentabilidad de las empresas mineras en la zona de huaraz registradas en la SMV, periodo 2019-2020</b:Title>
    <b:Year>2021</b:Year>
    <b:Publisher>Universidad Privada del Norte</b:Publisher>
    <b:City>Lima</b:City>
    <b:Author>
      <b:Author>
        <b:NameList>
          <b:Person>
            <b:Last>Huayta Gutierrez</b:Last>
            <b:Middle>Jose </b:Middle>
            <b:First>Pedro </b:First>
          </b:Person>
          <b:Person>
            <b:Last>Ramirez Dioses</b:Last>
            <b:First>Richar </b:First>
          </b:Person>
        </b:NameList>
      </b:Author>
    </b:Author>
    <b:RefOrder>37</b:RefOrder>
  </b:Source>
  <b:Source>
    <b:Tag>Ing19</b:Tag>
    <b:SourceType>JournalArticle</b:SourceType>
    <b:Guid>{1FE93209-BF4D-4CBD-AC97-5EA22BF336FB}</b:Guid>
    <b:Title>Ética en la investigación científica</b:Title>
    <b:Year>2019</b:Year>
    <b:JournalName>Imaginario Social</b:JournalName>
    <b:Pages>1-10</b:Pages>
    <b:Author>
      <b:Author>
        <b:NameList>
          <b:Person>
            <b:Last>Inguillay Gagñay</b:Last>
            <b:Middle>Katerine </b:Middle>
            <b:First>Lisbeth </b:First>
          </b:Person>
          <b:Person>
            <b:Last>Tercero Chicaiza</b:Last>
            <b:Middle>Lorena </b:Middle>
            <b:First>Silvia </b:First>
          </b:Person>
          <b:Person>
            <b:Last>López Aguirre</b:Last>
            <b:First>José </b:First>
          </b:Person>
        </b:NameList>
      </b:Author>
    </b:Author>
    <b:RefOrder>38</b:RefOrder>
  </b:Source>
  <b:Source>
    <b:Tag>Agu181</b:Tag>
    <b:SourceType>Report</b:SourceType>
    <b:Guid>{0E18BCC2-7EC9-46EB-92D4-2562E6020ED6}</b:Guid>
    <b:Title>Metodología didáctica basada en metaversos con relación a los estilos de aprendizaje en la educación secundaria</b:Title>
    <b:Year>2018</b:Year>
    <b:Publisher>Universidad Técnica de Ambato</b:Publisher>
    <b:City>Ambato</b:City>
    <b:Author>
      <b:Author>
        <b:NameList>
          <b:Person>
            <b:Last>Aguilar Córdova</b:Last>
            <b:Middle>Rolando </b:Middle>
            <b:First>Edwin </b:First>
          </b:Person>
        </b:NameList>
      </b:Author>
    </b:Author>
    <b:RefOrder>10</b:RefOrder>
  </b:Source>
  <b:Source>
    <b:Tag>Muñ181</b:Tag>
    <b:SourceType>Report</b:SourceType>
    <b:Guid>{AF351B44-8DBC-49BE-91D1-365E98BB685A}</b:Guid>
    <b:Title>Ventajas y desventajas del muestreo probabilístico y no probabilístico en investigaciones científicas</b:Title>
    <b:Year>2018</b:Year>
    <b:Publisher>Universidad Técnica de Machala</b:Publisher>
    <b:City>Machala</b:City>
    <b:Author>
      <b:Author>
        <b:NameList>
          <b:Person>
            <b:Last>Muñoz Loayza </b:Last>
            <b:Middle>Anabel</b:Middle>
            <b:First>Betsy </b:First>
          </b:Person>
        </b:NameList>
      </b:Author>
    </b:Author>
    <b:RefOrder>39</b:RefOrder>
  </b:Source>
  <b:Source>
    <b:Tag>Ari21</b:Tag>
    <b:SourceType>Book</b:SourceType>
    <b:Guid>{E23DE49F-5320-4B42-B957-F88FA6615FA2}</b:Guid>
    <b:Title>Diseño y Metodología de la Investigación</b:Title>
    <b:Year>2021</b:Year>
    <b:Publisher>Enfoques Consulting EIRL</b:Publisher>
    <b:City>Arequipa</b:City>
    <b:Author>
      <b:Author>
        <b:NameList>
          <b:Person>
            <b:Last>Arias Gonzáles</b:Last>
            <b:Middle>Luis</b:Middle>
            <b:First>José</b:First>
          </b:Person>
          <b:Person>
            <b:Last>Covinos Gallardo</b:Last>
            <b:First>Mitsuo</b:First>
          </b:Person>
        </b:NameList>
      </b:Author>
    </b:Author>
    <b:RefOrder>9</b:RefOrder>
  </b:Source>
  <b:Source>
    <b:Tag>Vel211</b:Tag>
    <b:SourceType>Report</b:SourceType>
    <b:Guid>{13127E3F-8D88-40A6-97DC-AD8403843D73}</b:Guid>
    <b:Title>Análisis financiero del sector farmacéutico, principales empresas en Ecuador antes y después de la pandemia COVID-19: análisis comparativo</b:Title>
    <b:Year>2021</b:Year>
    <b:Publisher>Universidad de Guayaquil</b:Publisher>
    <b:City>Guayaquil</b:City>
    <b:Author>
      <b:Author>
        <b:NameList>
          <b:Person>
            <b:Last>Veliz Arias </b:Last>
            <b:Middle>Brigitte</b:Middle>
            <b:First>Michelle </b:First>
          </b:Person>
          <b:Person>
            <b:Last>Quichimbo Oña </b:Last>
            <b:Middle>Alexandra</b:Middle>
            <b:First>Jennifer </b:First>
          </b:Person>
        </b:NameList>
      </b:Author>
    </b:Author>
    <b:RefOrder>11</b:RefOrder>
  </b:Source>
  <b:Source>
    <b:Tag>Hua19</b:Tag>
    <b:SourceType>Report</b:SourceType>
    <b:Guid>{676EEB0D-CC4D-4BF9-8396-286E10967862}</b:Guid>
    <b:Title>Análisis de la Rentabilidad y la Liquidez, en las AFP reguladas por la SBS, Años 2015 al 2019</b:Title>
    <b:Year>2020</b:Year>
    <b:City>Lima</b:City>
    <b:Publisher>Universidad César Vallejo</b:Publisher>
    <b:Author>
      <b:Author>
        <b:NameList>
          <b:Person>
            <b:Last>Huamán Fernández</b:Last>
            <b:First>Rosa</b:First>
          </b:Person>
          <b:Person>
            <b:Last>Ríos Ríos</b:Last>
            <b:Middle>Rosaly</b:Middle>
            <b:First>Yulisa </b:First>
          </b:Person>
        </b:NameList>
      </b:Author>
    </b:Author>
    <b:RefOrder>1</b:RefOrder>
  </b:Source>
  <b:Source>
    <b:Tag>21ht</b:Tag>
    <b:SourceType>InternetSite</b:SourceType>
    <b:Guid>{4BEE6B47-8DE5-4011-9177-F48A5A1ED236}</b:Guid>
    <b:Year>2021</b:Year>
    <b:URL>https://muniurubamba.gob.pe/</b:URL>
    <b:Title>Municipalidad Distrital de Urubamba</b:Title>
    <b:RefOrder>1</b:RefOrder>
  </b:Source>
  <b:Source>
    <b:Tag>Bus18</b:Tag>
    <b:SourceType>Report</b:SourceType>
    <b:Guid>{74849E04-5239-4754-B7CB-358ECF5188F9}</b:Guid>
    <b:Title>“El control patrimonial de bienes muebles y su influencia en el área patrimonial de la UGEL Yungay periodos 2010 - 2017”</b:Title>
    <b:Year>2018</b:Year>
    <b:URL>https://repositorio.ucv.edu.pe/handle/20.500.12692/28120</b:URL>
    <b:Publisher>Universidada Cesar Vallejo</b:Publisher>
    <b:City>Lima</b:City>
    <b:Author>
      <b:Author>
        <b:NameList>
          <b:Person>
            <b:Last>Bustamante Cabello</b:Last>
            <b:First>Julio</b:First>
          </b:Person>
        </b:NameList>
      </b:Author>
    </b:Author>
    <b:RefOrder>2</b:RefOrder>
  </b:Source>
  <b:Source>
    <b:Tag>Jar20</b:Tag>
    <b:SourceType>Report</b:SourceType>
    <b:Guid>{417DC6E6-03AA-4DAD-8A88-D4B35B894530}</b:Guid>
    <b:Title>´´El control patrimonial y su influencia en la administración de bienes muebles de la municipalidad distrital de Jililí 2018´´</b:Title>
    <b:Year>2020</b:Year>
    <b:Publisher>universidad Cesar Vallejo</b:Publisher>
    <b:City>Piura- Peru</b:City>
    <b:Author>
      <b:Author>
        <b:NameList>
          <b:Person>
            <b:Last>Jaramillo García</b:Last>
            <b:First>Elvis Yair</b:First>
          </b:Person>
        </b:NameList>
      </b:Author>
    </b:Author>
    <b:URL>https://repositorio.ucv.edu.pe/handle/20.500.12692/55769</b:URL>
    <b:RefOrder>3</b:RefOrder>
  </b:Source>
  <b:Source>
    <b:Tag>Flo21</b:Tag>
    <b:SourceType>Report</b:SourceType>
    <b:Guid>{C4A2D0F8-E189-4495-8146-5E3CD320E249}</b:Guid>
    <b:Title>Estrategias de Comunicación Organizacional para la Preservación de los Bienes y el Resguardo Patrimonial, Estudio de Caso: Facultad de Ciencias de la Comunicación de la UANL</b:Title>
    <b:Year>2021</b:Year>
    <b:Publisher>Univerdidad Autonoma de Nuevo Leon</b:Publisher>
    <b:City>Mexico</b:City>
    <b:Author>
      <b:Author>
        <b:NameList>
          <b:Person>
            <b:Last>Flores Sanchez</b:Last>
            <b:First>Jose Eduardo </b:First>
          </b:Person>
        </b:NameList>
      </b:Author>
    </b:Author>
    <b:URL>http://eprints.uanl.mx/22596/1/1080315520.pdf</b:URL>
    <b:RefOrder>4</b:RefOrder>
  </b:Source>
  <b:Source>
    <b:Tag>Den20</b:Tag>
    <b:SourceType>JournalArticle</b:SourceType>
    <b:Guid>{D313BDFC-B387-4732-B108-84449582CDDC}</b:Guid>
    <b:Title>Procedimiento para evaluar la gestion del conjunto Patrimonial Jaronu en pos de la sostenibilidad territorial</b:Title>
    <b:JournalName>Universidad de Camagüey</b:JournalName>
    <b:Year>2020</b:Year>
    <b:Author>
      <b:Author>
        <b:NameList>
          <b:Person>
            <b:Last>Deniz Cruz</b:Last>
            <b:First>Ania</b:First>
          </b:Person>
          <b:Person>
            <b:Last>Salgado Garcia</b:Last>
            <b:First>Lorenzo</b:First>
          </b:Person>
          <b:Person>
            <b:Last>Peron Delgado</b:Last>
            <b:First>Eva</b:First>
          </b:Person>
        </b:NameList>
      </b:Author>
    </b:Author>
    <b:City>Mexico </b:City>
    <b:Month>Noviembre</b:Month>
    <b:Day>16</b:Day>
    <b:URL>http://ru.iiec.unam.mx/id/eprint/5197</b:URL>
    <b:Pages>Cuba</b:Pages>
    <b:RefOrder>5</b:RefOrder>
  </b:Source>
  <b:Source>
    <b:Tag>MarcadorDePosición3</b:Tag>
    <b:SourceType>Report</b:SourceType>
    <b:Guid>{96A4801E-BE0F-4519-BD0C-1A1BD03EB048}</b:Guid>
    <b:Author>
      <b:Author>
        <b:Corporate>Ministerio de Economía y Finanzas</b:Corporate>
      </b:Author>
    </b:Author>
    <b:Title>DIRECTIVA N° 0006-2021-EF/54.01 “Directiva para la gestión de bienes muebles patrimoniales en el marco del Sistema Nacional de Abastecimiento”</b:Title>
    <b:Year>2021</b:Year>
    <b:City>Lima</b:City>
    <b:Publisher>Diario Oficial el Peruano</b:Publisher>
    <b:RefOrder>6</b:RefOrder>
  </b:Source>
  <b:Source>
    <b:Tag>Uni21</b:Tag>
    <b:SourceType>JournalArticle</b:SourceType>
    <b:Guid>{1B11DBF8-BDA4-403E-8EF4-51A1AB7743EE}</b:Guid>
    <b:Author>
      <b:Author>
        <b:Corporate>Universidad Veracruzana</b:Corporate>
      </b:Author>
    </b:Author>
    <b:Title>"Control y seguimiento de bienes muebles e inmuebles"</b:Title>
    <b:Year>2021</b:Year>
    <b:URL>https://www.uv.mx/orgmet/files/2017/05/abs-cb-p-02.pdf</b:URL>
    <b:Pages>19</b:Pages>
    <b:JournalName>Sistema de Gestión de la Calidad de la Universidad Veracruzana</b:JournalName>
    <b:RefOrder>7</b:RefOrder>
  </b:Source>
  <b:Source>
    <b:Tag>Tri15</b:Tag>
    <b:SourceType>Book</b:SourceType>
    <b:Guid>{2CF6B206-ECF8-4BDB-8F6E-F3FAA5B699A1}</b:Guid>
    <b:Author>
      <b:Author>
        <b:Corporate>Tribunal Constitucional Del Perú</b:Corporate>
      </b:Author>
    </b:Author>
    <b:Title>Compendio normativo</b:Title>
    <b:Year>2015</b:Year>
    <b:City>Lima</b:City>
    <b:Publisher>Biblioteca Nacional del Perú</b:Publisher>
    <b:RefOrder>8</b:RefOrder>
  </b:Source>
  <b:Source>
    <b:Tag>Min191</b:Tag>
    <b:SourceType>Report</b:SourceType>
    <b:Guid>{F79C9A7A-CE4B-4D07-8197-C4766C695A5C}</b:Guid>
    <b:Title>Decreto Legislativo N° 1439, Decreto Legislativo del Sistema Nacional de Abastecimiento (SNA)</b:Title>
    <b:Year>2019</b:Year>
    <b:Publisher>Diario Oficial El Peruano</b:Publisher>
    <b:City>Lima-Perú</b:City>
    <b:Author>
      <b:Author>
        <b:Corporate>Ministerio de Economía y Finanzas</b:Corporate>
      </b:Author>
    </b:Author>
    <b:RefOrder>9</b:RefOrder>
  </b:Source>
  <b:Source>
    <b:Tag>Her141</b:Tag>
    <b:SourceType>Book</b:SourceType>
    <b:Guid>{6ABF8C55-AFDF-4061-B4A2-37452B165257}</b:Guid>
    <b:Title>Metodología de la Investigación - Las rutas cuantitativa, cualitativa y mixta - Primera Edición</b:Title>
    <b:Year>2018</b:Year>
    <b:City>México</b:City>
    <b:Publisher>Mc Graw Hill Education</b:Publisher>
    <b:Author>
      <b:Author>
        <b:NameList>
          <b:Person>
            <b:Last>Hernández Sampieri</b:Last>
            <b:First>Roberto</b:First>
          </b:Person>
          <b:Person>
            <b:Last>Mendoza Torres</b:Last>
            <b:Middle>Paulina</b:Middle>
            <b:First>Christian</b:First>
          </b:Person>
        </b:NameList>
      </b:Author>
    </b:Author>
    <b:RefOrder>10</b:RefOrder>
  </b:Source>
</b:Sources>
</file>

<file path=customXml/itemProps1.xml><?xml version="1.0" encoding="utf-8"?>
<ds:datastoreItem xmlns:ds="http://purl.oclc.org/ooxml/officeDocument/customXml" ds:itemID="{FB6EE663-1C67-4C62-A4E1-B863A12386B6}">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TotalTime>
  <Pages>19</Pages>
  <Words>13970</Words>
  <Characters>76839</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ALUMNO - ANGIE ELIANA JIMENEZ MOLINA</dc:creator>
  <cp:keywords/>
  <dc:description/>
  <cp:lastModifiedBy>SOOMMETRIX</cp:lastModifiedBy>
  <cp:revision>2</cp:revision>
  <cp:lastPrinted>2023-09-26T22:13:00Z</cp:lastPrinted>
  <dcterms:created xsi:type="dcterms:W3CDTF">2023-09-26T22:14:00Z</dcterms:created>
  <dcterms:modified xsi:type="dcterms:W3CDTF">2023-09-26T22:14:00Z</dcterms:modified>
</cp:coreProperties>
</file>